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333-275634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14370" cy="1174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437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3,788,550 Shares of Common Stock</w:t>
      </w:r>
    </w:p>
    <w:p>
      <w:pPr>
        <w:spacing w:after="0" w:line="22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3,788,550 shares of our common stock, par value $0.01 per share (“common stock”) to investors at an offering price of $2.27 per share, pursuant to this prospectus supplement and the accompanying prospectus.</w:t>
      </w:r>
    </w:p>
    <w:p>
      <w:pPr>
        <w:spacing w:after="0" w:line="162"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investors of our shares of common stock, unregistered series H preferred investment options to purchase up to 7,577,100 shares of our common stock (the “series H preferred investment options”). Each series H preferred investment option will be exercisable for one share of common stock at an exercise price of $2.10 commencing on the date of issuance and will expire two years from the initial exercise date. The series H preferred investment options and the shares of common stock issuable upon the exercise of such series H preferred investment options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None of the series H preferred investment options issued in the concurrent private placement are or will be listed for trading on any national securities exchange.</w:t>
      </w:r>
    </w:p>
    <w:p>
      <w:pPr>
        <w:spacing w:after="0" w:line="192"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trades on The Nasdaq Capital Market under the symbol “MBOT.” The last sale price of our shares of common stock on January 7, 2025 was $2.83 per share.</w:t>
      </w:r>
    </w:p>
    <w:p>
      <w:pPr>
        <w:spacing w:after="0" w:line="162"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common stock held by non-affiliates, computed by reference to the price at which our common stock was last sold on The Nasdaq Capital Market on January 6, 2025, which was $2.84 per share, was approximately $68.5 million, based on 24,242,120 shares of our outstanding common stock as of the date of this prospectus supplement, of which 24,105,273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sold $14,169,283 in securities pursuant to General Instruction I.B.6 of Form S-3.</w:t>
      </w:r>
    </w:p>
    <w:p>
      <w:pPr>
        <w:spacing w:after="0" w:line="189"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8,600,008.50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358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0.1589</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602,000.60</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358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2.1111</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7,998,007.90</w:t>
            </w: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cash fee of 7.0% of the aggregate gross proceeds raised in the offering. In addition, we have agreed to pay the placement agent a management fee equal to 1.0% of the gross proceeds raised in this offering, to reimburse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S-12 of this prospectus supplement for more information.</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proceeds from the exercise of the placement agent warrants to be issued to the placement agent in cash, if any.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be made on or about January 10, 2025, subject to satisfaction of customary closing conditions.</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S-7 of this prospectus supplement and the risk factors incorporated by reference into this prospectus supplement and the accompanying base prospectus.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r>
      <w:tr>
        <w:trPr>
          <w:trHeight w:val="453"/>
        </w:trPr>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920" w:type="dxa"/>
            <w:vAlign w:val="bottom"/>
            <w:tcBorders>
              <w:top w:val="single" w:sz="8" w:color="auto"/>
            </w:tcBorders>
            <w:gridSpan w:val="5"/>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69"/>
        </w:trPr>
        <w:tc>
          <w:tcPr>
            <w:tcW w:w="10600" w:type="dxa"/>
            <w:vAlign w:val="bottom"/>
            <w:gridSpan w:val="3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PRIVATE PLACEMENT TRANSACTION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176"/>
        </w:trPr>
        <w:tc>
          <w:tcPr>
            <w:tcW w:w="31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44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5"/>
        </w:trPr>
        <w:tc>
          <w:tcPr>
            <w:tcW w:w="1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2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453"/>
        </w:trPr>
        <w:tc>
          <w:tcPr>
            <w:tcW w:w="506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54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89"/>
        </w:trPr>
        <w:tc>
          <w:tcPr>
            <w:tcW w:w="2200" w:type="dxa"/>
            <w:vAlign w:val="bottom"/>
            <w:tcBorders>
              <w:bottom w:val="single" w:sz="8" w:color="0000EE"/>
            </w:tcBorders>
            <w:gridSpan w:val="1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0000EE"/>
                <w:w w:val="99"/>
              </w:rPr>
              <w:t>PROSPECTUS SUMMARY</w:t>
            </w:r>
          </w:p>
        </w:tc>
        <w:tc>
          <w:tcPr>
            <w:tcW w:w="8400" w:type="dxa"/>
            <w:vAlign w:val="bottom"/>
            <w:tcBorders>
              <w:bottom w:val="single" w:sz="8" w:color="CCEEFF"/>
            </w:tcBorders>
            <w:gridSpan w:val="18"/>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33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32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1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3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registration statement on Form S-3 (File No. 333-275634) utilizing a shelf registration process relating to the securities described in this prospectus supplement was initially filed with the Securities and Exchange Commission, or the SEC, on November 17, 2023 and was declared effective on December 4, 2023.</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a pre-clinical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ind w:firstLine="324"/>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 concurrent private placement, we are also issuing to the purchasers of our shares of common stock in this offering, series H preferred investment options to purchase up to 7,577,100 shares of our common stock. Each series H preferred investment option will be exercisable for one share of common stock at an exercise price of $2.10 commencing on the date of issuance and will expire two years from the initial exercise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and Concurrent Private Placement</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(the “Registered Direct Offering”). In a concurrent private placement, we agreed to issue to the same investors series G preferred investment options to purchase up to 8,000,002 shares of our common stock at an exercise price of $1.75 per share (the “Private Placement” and, together with the Registered Direct Offering, the “January 2025 Offerings”). Each series G preferred investment option was exercisable immediately and expires two years from the initial exercise date. The January 2025 Offerings closed on January 7, 2025, and we raised approximately $7.0 million in aggregate gross proceeds from such offerings, before deducting placement agent fees and expenses and related offering expenses.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200,000 shares of our common stock, which were exercisable immediately, expire two years from issuance, and have an exercise price of $2.1875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January 7, 2025, after taking into account the issuance of all of the shares sold under the ATM Agreement and all of the shares sold to the investors in the January 2025 Offerings (excluding shares underlying the series G preferred investment options), we had 24,242,120 shares of our common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ectPr>
          <w:pgSz w:w="11900" w:h="16838" w:orient="portrait"/>
          <w:cols w:equalWidth="0" w:num="1">
            <w:col w:w="10940"/>
          </w:cols>
          <w:pgMar w:left="480" w:top="914" w:right="479" w:bottom="0" w:gutter="0" w:footer="0" w:header="0"/>
        </w:sectPr>
      </w:pPr>
    </w:p>
    <w:bookmarkStart w:id="6" w:name="page7"/>
    <w:bookmarkEnd w:id="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FDA, in order to commence its pivotal clinical trial in humans. On June 3, 2024, we announced that we received the FDA’s approval to proceed with our pivotal human clinical trial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-273685</wp:posOffset>
            </wp:positionV>
            <wp:extent cx="7136130" cy="2119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119630"/>
                    </a:xfrm>
                    <a:prstGeom prst="rect">
                      <a:avLst/>
                    </a:prstGeom>
                    <a:noFill/>
                  </pic:spPr>
                </pic:pic>
              </a:graphicData>
            </a:graphic>
          </wp:anchor>
        </w:drawing>
      </w:r>
    </w:p>
    <w:p>
      <w:pPr>
        <w:jc w:val="both"/>
        <w:spacing w:after="0" w:line="209" w:lineRule="auto"/>
        <w:rPr>
          <w:sz w:val="20"/>
          <w:szCs w:val="20"/>
          <w:color w:val="auto"/>
        </w:rPr>
      </w:pPr>
      <w:r>
        <w:rPr>
          <w:rFonts w:ascii="Times New Roman" w:cs="Times New Roman" w:eastAsia="Times New Roman" w:hAnsi="Times New Roman"/>
          <w:sz w:val="18"/>
          <w:szCs w:val="18"/>
          <w:color w:val="auto"/>
        </w:rPr>
        <w:t>part of our 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Brigham and Women’s Hospital, Boston, Massachusetts, Baptist Hospital of Miami, which includes Miami Cardiac &amp; Vascular Institute and Miami Cancer Institute, and Memorial Sloan</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Kettering Cancer Center, New York, have each enrolled in the clinical trial as part of the IDE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in October 2024, the Company has successfully completed enrollment and follow up for all patients in its human clinical trial.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121" w:right="47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8473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8473440"/>
                    </a:xfrm>
                    <a:prstGeom prst="rect">
                      <a:avLst/>
                    </a:prstGeom>
                    <a:noFill/>
                  </pic:spPr>
                </pic:pic>
              </a:graphicData>
            </a:graphic>
          </wp:anchor>
        </w:drawing>
        <w:t>We have considered various ongoing risks relating to the military operations and related matters, including:</w:t>
      </w:r>
    </w:p>
    <w:p>
      <w:pPr>
        <w:spacing w:after="0" w:line="225" w:lineRule="exact"/>
        <w:rPr>
          <w:sz w:val="20"/>
          <w:szCs w:val="20"/>
          <w:color w:val="auto"/>
        </w:rPr>
      </w:pPr>
    </w:p>
    <w:p>
      <w:pPr>
        <w:ind w:left="960" w:right="20" w:hanging="317"/>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33"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7"/>
          <w:szCs w:val="17"/>
          <w:color w:val="auto"/>
        </w:rPr>
        <w:t>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System’s core technology is co-owned by Microbot and The Technion Research and Development Foundation Ltd., or TRDF. The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16 patents issued/allowed and 59 patent applications pending worldwide. Microbot also holds 11 design patents issued/allowed and 3 design patents pending worldwide. It also has</w:t>
      </w:r>
    </w:p>
    <w:p>
      <w:pPr>
        <w:spacing w:after="0" w:line="2"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registered 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the U.S., Israel, Europe, and UK, in addition to having registered trademarks for the “One &amp; Done” wordmark in Israel, Europe, the U.S., UK, and Japan. Microbot also has a registered trademark in the U.S. for the NovaCross trademark.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2023 as described under the caption “Incorporation of Documents by Reference” on page S-14 of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8" w:right="47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449"/>
        </w:trPr>
        <w:tc>
          <w:tcPr>
            <w:tcW w:w="3320" w:type="dxa"/>
            <w:vAlign w:val="bottom"/>
            <w:tcBorders>
              <w:top w:val="single" w:sz="8" w:color="auto"/>
              <w:left w:val="single" w:sz="8" w:color="auto"/>
            </w:tcBorders>
          </w:tcPr>
          <w:p>
            <w:pPr>
              <w:spacing w:after="0"/>
              <w:rPr>
                <w:sz w:val="24"/>
                <w:szCs w:val="24"/>
                <w:color w:val="auto"/>
              </w:rPr>
            </w:pPr>
          </w:p>
        </w:tc>
        <w:tc>
          <w:tcPr>
            <w:tcW w:w="7920" w:type="dxa"/>
            <w:vAlign w:val="bottom"/>
            <w:tcBorders>
              <w:top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10"/>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Offered in This</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3,788,550 shares of our common stock, par value $0.01 per share</w:t>
            </w:r>
          </w:p>
        </w:tc>
      </w:tr>
      <w:tr>
        <w:trPr>
          <w:trHeight w:val="238"/>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7920" w:type="dxa"/>
            <w:vAlign w:val="bottom"/>
            <w:tcBorders>
              <w:right w:val="single" w:sz="8" w:color="auto"/>
            </w:tcBorders>
          </w:tcPr>
          <w:p>
            <w:pPr>
              <w:spacing w:after="0"/>
              <w:rPr>
                <w:sz w:val="20"/>
                <w:szCs w:val="20"/>
                <w:color w:val="auto"/>
              </w:rPr>
            </w:pPr>
          </w:p>
        </w:tc>
      </w:tr>
      <w:tr>
        <w:trPr>
          <w:trHeight w:val="410"/>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Outstanding Before</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24,242,120 shares (1)</w:t>
            </w:r>
          </w:p>
        </w:tc>
      </w:tr>
      <w:tr>
        <w:trPr>
          <w:trHeight w:val="238"/>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7920" w:type="dxa"/>
            <w:vAlign w:val="bottom"/>
            <w:tcBorders>
              <w:right w:val="single" w:sz="8" w:color="auto"/>
            </w:tcBorders>
          </w:tcPr>
          <w:p>
            <w:pPr>
              <w:spacing w:after="0"/>
              <w:rPr>
                <w:sz w:val="20"/>
                <w:szCs w:val="20"/>
                <w:color w:val="auto"/>
              </w:rPr>
            </w:pPr>
          </w:p>
        </w:tc>
      </w:tr>
      <w:tr>
        <w:trPr>
          <w:trHeight w:val="410"/>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to be Outstanding After</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28,030,670 shares (1)</w:t>
            </w:r>
          </w:p>
        </w:tc>
      </w:tr>
      <w:tr>
        <w:trPr>
          <w:trHeight w:val="238"/>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7920" w:type="dxa"/>
            <w:vAlign w:val="bottom"/>
            <w:tcBorders>
              <w:right w:val="single" w:sz="8" w:color="auto"/>
            </w:tcBorders>
          </w:tcPr>
          <w:p>
            <w:pPr>
              <w:spacing w:after="0"/>
              <w:rPr>
                <w:sz w:val="20"/>
                <w:szCs w:val="20"/>
                <w:color w:val="auto"/>
              </w:rPr>
            </w:pPr>
          </w:p>
        </w:tc>
      </w:tr>
      <w:tr>
        <w:trPr>
          <w:trHeight w:val="414"/>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estimate the net proceeds from this offering will be approximately $7.77 million after deducting</w:t>
            </w:r>
          </w:p>
        </w:tc>
      </w:tr>
      <w:tr>
        <w:trPr>
          <w:trHeight w:val="220"/>
        </w:trPr>
        <w:tc>
          <w:tcPr>
            <w:tcW w:w="332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estimated offering expenses payable by us. We currently intend to use the net proceeds from this offering</w:t>
            </w:r>
          </w:p>
        </w:tc>
      </w:tr>
      <w:tr>
        <w:trPr>
          <w:trHeight w:val="253"/>
        </w:trPr>
        <w:tc>
          <w:tcPr>
            <w:tcW w:w="3320" w:type="dxa"/>
            <w:vAlign w:val="bottom"/>
            <w:tcBorders>
              <w:left w:val="single" w:sz="8" w:color="auto"/>
            </w:tcBorders>
          </w:tcPr>
          <w:p>
            <w:pPr>
              <w:spacing w:after="0"/>
              <w:rPr>
                <w:sz w:val="21"/>
                <w:szCs w:val="21"/>
                <w:color w:val="auto"/>
              </w:rPr>
            </w:pPr>
          </w:p>
        </w:tc>
        <w:tc>
          <w:tcPr>
            <w:tcW w:w="7920" w:type="dxa"/>
            <w:vAlign w:val="bottom"/>
            <w:tcBorders>
              <w:right w:val="single" w:sz="8" w:color="auto"/>
            </w:tcBorders>
          </w:tcPr>
          <w:p>
            <w:pPr>
              <w:ind w:left="120"/>
              <w:spacing w:after="0" w:line="252" w:lineRule="exact"/>
              <w:rPr>
                <w:sz w:val="20"/>
                <w:szCs w:val="20"/>
                <w:color w:val="auto"/>
              </w:rPr>
            </w:pPr>
            <w:r>
              <w:rPr>
                <w:rFonts w:ascii="Times New Roman" w:cs="Times New Roman" w:eastAsia="Times New Roman" w:hAnsi="Times New Roman"/>
                <w:sz w:val="18"/>
                <w:szCs w:val="18"/>
                <w:color w:val="auto"/>
              </w:rPr>
              <w:t>for the continued development, commercialization and regulatory activities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System, expansion and development of additional applications derived from our existing intellectual</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property portfolio, and for working capital and other general corporate purposes. As a result, our</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 will retain broad discretion in the allocation and use of the net proceeds of this offering, and</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investors will be relying on the judgment of our management with regard to the use of these net</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proceeds.  Pending application of the net proceeds for the purposes as described above, we expect to</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 the net proceeds in short-term, interest-bearing securities, investment grade securities, certificates</w:t>
            </w:r>
          </w:p>
        </w:tc>
      </w:tr>
      <w:tr>
        <w:trPr>
          <w:trHeight w:val="234"/>
        </w:trPr>
        <w:tc>
          <w:tcPr>
            <w:tcW w:w="332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deposit or direct or guaranteed obligations of the U.S. government. See “Use of Proceeds” on page S-9.</w:t>
            </w:r>
          </w:p>
        </w:tc>
      </w:tr>
      <w:tr>
        <w:trPr>
          <w:trHeight w:val="414"/>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Before you decide to invest in our common</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stock, you should carefully read this prospectus supplement in its entirety and carefully consider the risks</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uncertainties described in “Risk Factors” beginning on page S-7 of this prospectus supplement,</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beginning on page 6 of the accompanying base prospectus and in our Annual Report on Form 10-K for</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fiscal year ended December 31, 2023, as such risk factors may be amended, updated or modified</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periodically in our reports filed with the SEC, and the financial data and related notes and the reports</w:t>
            </w:r>
          </w:p>
        </w:tc>
      </w:tr>
      <w:tr>
        <w:trPr>
          <w:trHeight w:val="234"/>
        </w:trPr>
        <w:tc>
          <w:tcPr>
            <w:tcW w:w="332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incorporated by reference herein and therein.</w:t>
            </w:r>
          </w:p>
        </w:tc>
      </w:tr>
      <w:tr>
        <w:trPr>
          <w:trHeight w:val="414"/>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a concurrent private placement, we are also selling to the same investors of our shares of common</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stock, unregistered series H preferred investment options to purchase up to 7,577,100 shares of our</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Each series H preferred investment option will be exercisable for one share of common</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stock at an exercise price of $2.10 commencing on the date of issuance and will expire two years from the</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initial exercise date. The series H preferred investment options and the shares of common stock issuable</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upon the exercise of such securities are not being registered under the Securities Act of 1933, as amended</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“Securities  Act”),  are  not  being  offered  pursuant  to  this  prospectus  supplement  and  the</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accompanying prospectus and are being offered pursuant to the exemption provided in Section 4(a)(2)</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under the Securities Act and Rule 506(b) promulgated thereunder.  See the section titled “Private</w:t>
            </w:r>
          </w:p>
        </w:tc>
      </w:tr>
      <w:tr>
        <w:trPr>
          <w:trHeight w:val="234"/>
        </w:trPr>
        <w:tc>
          <w:tcPr>
            <w:tcW w:w="332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Placement Transaction.”</w:t>
            </w:r>
          </w:p>
        </w:tc>
      </w:tr>
      <w:tr>
        <w:trPr>
          <w:trHeight w:val="432"/>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“MBOT”.</w:t>
            </w:r>
          </w:p>
        </w:tc>
      </w:tr>
      <w:tr>
        <w:trPr>
          <w:trHeight w:val="226"/>
        </w:trPr>
        <w:tc>
          <w:tcPr>
            <w:tcW w:w="3320" w:type="dxa"/>
            <w:vAlign w:val="bottom"/>
            <w:tcBorders>
              <w:left w:val="single" w:sz="8" w:color="auto"/>
              <w:bottom w:val="single" w:sz="8" w:color="auto"/>
            </w:tcBorders>
          </w:tcPr>
          <w:p>
            <w:pPr>
              <w:spacing w:after="0"/>
              <w:rPr>
                <w:sz w:val="19"/>
                <w:szCs w:val="19"/>
                <w:color w:val="auto"/>
              </w:rPr>
            </w:pPr>
          </w:p>
        </w:tc>
        <w:tc>
          <w:tcPr>
            <w:tcW w:w="7920" w:type="dxa"/>
            <w:vAlign w:val="bottom"/>
            <w:tcBorders>
              <w:bottom w:val="single" w:sz="8" w:color="auto"/>
              <w:right w:val="single" w:sz="8" w:color="auto"/>
            </w:tcBorders>
          </w:tcPr>
          <w:p>
            <w:pPr>
              <w:spacing w:after="0"/>
              <w:rPr>
                <w:sz w:val="19"/>
                <w:szCs w:val="19"/>
                <w:color w:val="auto"/>
              </w:rPr>
            </w:pPr>
          </w:p>
        </w:tc>
      </w:tr>
      <w:tr>
        <w:trPr>
          <w:trHeight w:val="429"/>
        </w:trPr>
        <w:tc>
          <w:tcPr>
            <w:tcW w:w="33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320" w:top="683" w:right="339" w:bottom="1440" w:gutter="0" w:footer="0" w:header="0"/>
        </w:sectPr>
      </w:pPr>
    </w:p>
    <w:bookmarkStart w:id="9" w:name="page10"/>
    <w:bookmarkEnd w:id="9"/>
    <w:p>
      <w:pPr>
        <w:ind w:left="640" w:right="20" w:hanging="321"/>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613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The number of shares of common stock to be outstanding immediately after this offering, is based on 24,242,120 shares of our common stock outstanding as of January 7, 2025 and excludes the following securities:</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96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jc w:val="both"/>
        <w:ind w:left="960" w:right="20" w:hanging="317"/>
        <w:spacing w:after="0" w:line="266"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2,588,179 shares of our common stock issuable upon the exercise of outstanding stock options granted to employees, directors and consultants, with exercise prices ranging from approximately $0.005 to $15.75 and having a weighted-average exercise price of $4.58 per share;</w:t>
      </w:r>
    </w:p>
    <w:p>
      <w:pPr>
        <w:spacing w:after="0" w:line="17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639,029 shares of our common stock reserved for future grant under our 2020 Omnibus Performance Award Plan.</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placement agent warrants and any securities issued in the concurrent private placement.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8"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securities sold in this offering, you will incur immediate dilution.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pro forma as adjusted net tangible book value per share of our common stock after giving effect to this offering, the January 2025 Offerings and the ATM sales subsequent to September 30, 2024, you will suffer dilution with respect to the pro forma as adjusted net tangible book value of the shares of common stock you purchase in this offering. Based on a public offering price of $2.27 per share and our pro forma as adjusted net tangible book value as of September 30, 2024, if you purchase securities in this offering, you will suffer immediate dilution of $1.49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of our securities or other dilution of our equity, which may adversely affect the market price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thirty trading days from the closing of this offering, subject to customary exceptions. We further agreed not to issue any security that has a variable rate conversion or exercise component, for twelve months from the closing of this offering.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w:t>
      </w:r>
      <w:r>
        <w:rPr>
          <w:rFonts w:ascii="Times New Roman" w:cs="Times New Roman" w:eastAsia="Times New Roman" w:hAnsi="Times New Roman"/>
          <w:sz w:val="18"/>
          <w:szCs w:val="18"/>
          <w:i w:val="1"/>
          <w:iCs w:val="1"/>
          <w:color w:val="auto"/>
        </w:rPr>
        <w:t xml:space="preserve">Israel </w:t>
      </w:r>
      <w:r>
        <w:rPr>
          <w:rFonts w:ascii="Times New Roman" w:cs="Times New Roman" w:eastAsia="Times New Roman" w:hAnsi="Times New Roman"/>
          <w:sz w:val="18"/>
          <w:szCs w:val="18"/>
          <w:color w:val="auto"/>
        </w:rPr>
        <w:t>Innovation Authority and other sources. If additional capital is not available to us when needed or on acceptable terms, we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operate our business pursuant to our business plan or we may have to discontinue our operations entirely. Based on our cash balance and recurring losses since inception and inadequacy of existing capital resources to fund planned operations during the next twelve months, we will require significant additional funding to continue operations. We will receive net proceeds of approximately $7.77 million from the sale of the securities offered by us in this offering, after deducting the placement agent fees and estimated offering expenses payable by us and excluding any proceeds we may receive upon exercise of the securities issued in the concurrent private placement.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trading price of our common stock, regardless of our actual operating performance. In addition to the factors discussed in this “Risk Factors” section and elsewhere in this prospectus supplement, these factors include:</w:t>
      </w:r>
    </w:p>
    <w:p>
      <w:pPr>
        <w:spacing w:after="0" w:line="183"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operations and product development efforts;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working capital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persons whose sales or lack of sales could result in positive or negative pricing pressure on the market price for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and decline in demand for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industry or our prospects;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markets in general and our share price in particular have recently experienced extreme price and volume fluctuations that have often been unrelated or disproportionate to the operating performance of those companies and our company. For example, from September 23, 2024 to January 7, 2025, the closing price of our common stock on Nasdaq ranged from as low as $0.85 to as high as $2.84. These broad market fluctuations may adversely affect the trading price of our common stock. Additionally, these and other external factors have caused and may continue to cause the market price and demand for our common stock to fluctuate, which may limit or prevent investors from readily selling their common stock and may otherwise negatively affect the liquidity of our common stock.</w:t>
      </w:r>
    </w:p>
    <w:p>
      <w:pPr>
        <w:sectPr>
          <w:pgSz w:w="11900" w:h="16901" w:orient="portrait"/>
          <w:cols w:equalWidth="0" w:num="1">
            <w:col w:w="11240"/>
          </w:cols>
          <w:pgMar w:left="320" w:top="684"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selling the securities offered in this prospectus on a “best efforts” basis and may not be able to sell any of the securities offered herein.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the net proceeds to us from the sale of our common stock in this offering will be approximately $7.77 million after deducting the placement agent fees and estimated offering expenses payable by us.</w:t>
      </w:r>
    </w:p>
    <w:p>
      <w:pPr>
        <w:spacing w:after="0" w:line="16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the continued development, commercialization and regulatory activities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2024 was approximately $3.81 million, or $0.23 per share, based on 16,651,433 shares of our common stock outstanding at September 30, 2024.</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 forma net tangible book value as of September 30, 2024, was approximately $14.05 million, or approximately $0.58 per share, on a pro forma basis to give effect to (i) the issuance and sale of 3,590,686 shares of common stock pursuant to our ATM at an average price of $1.138 per share subsequent to September 30, 2024, after deducting sales agent commissions and (ii) the Registered Direct Offering of 4,000,001 shares of common stock at the offering price of $1.75 per share that closed on January 7, 2025.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in this offering of 3,788,550 shares of common stock at the offering price of $2.27 per share, after deducting the estimated placement agent’s fees and estimated offering expenses payable by us, our pro forma as adjusted net tangible book value on September 30, 2024, would have been approximately $21.8 million or $0.78 per share. This represents an immediate increase in the net tangible book value of $0.20 per share attributable to this offering and an immediate dilution of $1.49 per share to the new investors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immediate dilution to the new investors:</w:t>
            </w:r>
          </w:p>
        </w:tc>
        <w:tc>
          <w:tcPr>
            <w:tcW w:w="9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6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96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on September 30, 2024</w:t>
            </w:r>
          </w:p>
        </w:tc>
        <w:tc>
          <w:tcPr>
            <w:tcW w:w="9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0.23</w:t>
            </w:r>
          </w:p>
        </w:tc>
        <w:tc>
          <w:tcPr>
            <w:tcW w:w="1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on September 30, 2024</w:t>
            </w:r>
          </w:p>
        </w:tc>
        <w:tc>
          <w:tcPr>
            <w:tcW w:w="96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0.58</w:t>
            </w:r>
          </w:p>
        </w:tc>
        <w:tc>
          <w:tcPr>
            <w:tcW w:w="1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this offering</w:t>
            </w:r>
          </w:p>
        </w:tc>
        <w:tc>
          <w:tcPr>
            <w:tcW w:w="960" w:type="dxa"/>
            <w:vAlign w:val="bottom"/>
          </w:tcPr>
          <w:p>
            <w:pPr>
              <w:spacing w:after="0"/>
              <w:rPr>
                <w:sz w:val="18"/>
                <w:szCs w:val="18"/>
                <w:color w:val="auto"/>
              </w:rPr>
            </w:pPr>
          </w:p>
        </w:tc>
        <w:tc>
          <w:tcPr>
            <w:tcW w:w="22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0.20</w:t>
            </w:r>
          </w:p>
        </w:tc>
        <w:tc>
          <w:tcPr>
            <w:tcW w:w="1180" w:type="dxa"/>
            <w:vAlign w:val="bottom"/>
          </w:tcPr>
          <w:p>
            <w:pPr>
              <w:spacing w:after="0"/>
              <w:rPr>
                <w:sz w:val="18"/>
                <w:szCs w:val="18"/>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2024, after</w:t>
            </w:r>
          </w:p>
        </w:tc>
        <w:tc>
          <w:tcPr>
            <w:tcW w:w="9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giving effect to this offering</w:t>
            </w:r>
          </w:p>
        </w:tc>
        <w:tc>
          <w:tcPr>
            <w:tcW w:w="9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960" w:type="dxa"/>
            <w:vAlign w:val="bottom"/>
          </w:tcPr>
          <w:p>
            <w:pPr>
              <w:spacing w:after="0"/>
              <w:rPr>
                <w:sz w:val="20"/>
                <w:szCs w:val="20"/>
                <w:color w:val="auto"/>
              </w:rPr>
            </w:pPr>
          </w:p>
        </w:tc>
        <w:tc>
          <w:tcPr>
            <w:tcW w:w="22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0"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16,651,433, 24,242,120 and 28,030,670 actual, pro forma and pro forma as adjusted shares of our common stock outstanding as of September 30, 2024, respectively, and excludes the following securities:</w:t>
      </w:r>
    </w:p>
    <w:p>
      <w:pPr>
        <w:spacing w:after="0" w:line="390"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2,589,429 shares of our common stock issuable upon the exercise of outstanding stock options granted to employees, directors and consultants, with exercise prices ranging from approximately $0.005 to $15.75 and having a weighted-average exercise price of $4.58 per</w:t>
      </w:r>
    </w:p>
    <w:p>
      <w:pPr>
        <w:sectPr>
          <w:pgSz w:w="11900" w:h="16927" w:orient="portrait"/>
          <w:cols w:equalWidth="0" w:num="1">
            <w:col w:w="11240"/>
          </w:cols>
          <w:pgMar w:left="320" w:top="684" w:right="339" w:bottom="0" w:gutter="0" w:footer="0" w:header="0"/>
        </w:sectPr>
      </w:pPr>
    </w:p>
    <w:bookmarkStart w:id="15" w:name="page16"/>
    <w:bookmarkEnd w:id="15"/>
    <w:p>
      <w:pPr>
        <w:ind w:left="980"/>
        <w:spacing w:after="0"/>
        <w:rPr>
          <w:sz w:val="20"/>
          <w:szCs w:val="20"/>
          <w:color w:val="auto"/>
        </w:rPr>
      </w:pPr>
      <w:r>
        <w:rPr>
          <w:rFonts w:ascii="Times New Roman" w:cs="Times New Roman" w:eastAsia="Times New Roman" w:hAnsi="Times New Roman"/>
          <w:sz w:val="18"/>
          <w:szCs w:val="18"/>
          <w:color w:val="auto"/>
        </w:rPr>
        <w:t>share;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637,779 shares of our common stock reserved for future grant under our 2020 Omnibus Performance Award Plan.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placement agent warrants and any securities issued in the concurrent private placement.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shares of common stock. The following description of our shares of common stock summarizes the material terms and provisions thereof, including the material terms of the shares of common stock we are offering under this prospectus supplement and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the rights associated with the common stock, see “Description of Common Stock” in the accompanying prospectus. Our common stock is listed on The Nasdaq Capital Market under the symbol “MBOT.” Our transfer agent is Computershare Trust Company, N.A.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investors of our shares of common stock, unregistered series H preferred investment options to purchase up to 7,577,100 shares of our common stock (the “series H preferred investment options”). Each series H preferred investment option will be exercisable for one share of common stock at an exercise price of $2.10 commencing on the date of issuance and will expire two years from the initial exercise date.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preferred investment options will not have the right to exercise any portion of its preferred investment options if the holder, together with its affiliates, would beneficially own in excess of 4.99% of the number of shares of common stock outstanding immediately after giving effect to such exercise; provided, however, that upon notice to the Company, the holder may increase or decrease such beneficial ownership limitation, provided that in no event shall such beneficial ownership limitation exceed 9.99% and any increase in the beneficial ownership limitation will not be effective until 61 days following notice of such increase from the holder to us. In addition, the holders of the preferred investment options will have the right to participate in any rights offering or distribution of assets together with the holders of our shares of common stock on an as-exercised basis.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Accordingly, purchasers of the preferred investment options, may only sell shares of our common stock issued upon exercise of such securities being sold to them in the concurrent private placement, pursuant to an effective registration statement under the Securities Act covering the resale of those shares, an exemption under Rule 144 under the Securities Act or another applicable exemption under the Securities Act. None of the series H preferred investment options issued in the concurrent private placement are or will be listed for trading on any national securities exchange.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the shares of common stock issuable upon the exercise of the preferred investment options will be subject to adjustment for stock splits, reverse splits, and similar capital transactions, as described in the preferred investment options. The preferred investment options will be exercisable on a “cashless” basis in certain circumstances.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if a fundamental transaction occurs, then the successor entity will succeed to, and be substituted for us, and may exercise every right and power that we may exercise and will assume all of our obligations under the preferred investment options with the same effect as if such successor entity had been named in the preferred investment option itself. If holders of our shares of common stock are given a choice as to the securities, cash or property to be received in a fundamental transaction, then the holder shall be given the same choice as to the consideration it receives upon any exercise of the preferred investment option following such fundamental transaction. As more fully described in the form of preferred investment option, in the event of certain fundamental transactions, the holders of the preferred investment options will be entitled to receive consideration in an amount equal to the Black Scholes value of the preferred investment option on the date of consummation of the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an engagement letter agreement dated May 29, 2024, as amended on January 3, 2025, we have engaged H.C. Wainwright &amp; Co., LLC, referred to herein as Wainwright or the placement agent,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placement agent proposes to arrange for the sale of the securities we are offering pursuant to this prospectus supplement and accompanying prospectus to one or more institutional or accredited investors through a securities purchase agreement directly between the purchaser and us. We will only sell to such investors who have entered into the securities purchase agreement with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Delivery of the securities offered hereby is expected to take place on or about January 10, 2025, subject to satisfaction of customary closing conditions.</w:t>
      </w:r>
    </w:p>
    <w:p>
      <w:pPr>
        <w:spacing w:after="0" w:line="23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 associated person of H.C. Wainwright &amp; Co., LLC has agreed to purchase in this offering, on the same terms and conditions, an aggregate of 264,318 shares of common stock (and 528,636 warrants in the concurrent private placement) for a total purchase price of $600,001.86.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pay the placement agent a cash fee of 7.0%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8,600,008.50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358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0.1589</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602,000.60</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358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2.1111</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7,998,007.90</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agreed to reimburse the placement agent for its non-accountable expenses in the amount of $25,000, for its fees and expenses of legal counsel in the amount of up to $35,000, and for its clearing expenses in the amount of $15,950. We estimate the total offering expenses of this offering that will be payable by us, excluding the placement agent’s fees and expenses, will be approximately $70,000.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will issue to the placement agent, or its designees, warrants to purchase up to 189,428 shares of Common Stock. The placement agent warrants will be exercisable immediately following issuance, will have an exercise price equal to $2.8375 and will have the same term as the preferred investment options offered to investors in this offering.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purchase agreement that we entered into with the investor prohibits, with certain limited exceptions, us: (i) for sixty days following the closing date from issuing any shares of Common Stock or Common Stock Equivalents (as defined in the securities purchase agreement) or filing any registration statement (other than a Form S-8 or amendment or supplement to any previously filed registration statement), and (ii) for one year following the closing date from issuing any shares of Common Stock or Common Stock Equivalents in a Variable Rate Transaction (as defined in the securities purchase agreement).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granted Wainwright, subject to certain exceptions, a right of first refusal for a period of twelve (12) months following the consummation of this offering to act as our exclusive underwriter or placement agent for any further capital raising transactions undertaken by us or any of our subsidiaries.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six (6) months following the expiration of termination of the engagement of the placement agent, we shall pay the placement agent the cash and warrant compensation provided above, calculated in the same manner.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 The placement agent acted as our exclusive placement agent in connection with registered direct offerings we consummated in June 2024 and January 2025, as well as an “at-the-market” equity offering we initiated in June 2021, and received compensation in connection with each such offering. In addition, the placement agent is entitled to compensation in connection with the exercise of certain warrants for cash issued by us in the concurrent private placement consummated by us in June 2024. Except as disclosed in this prospectus supplement, we have no present arrangements with the placement agent for any further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shares of Common Stock trade on the Nasdaq Capital Market under the ticker symbol “MBOT.”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incorporated by reference in this Prospectus supplement, have been audited by Brightman Almagor Zohar &amp; Co., a Firm in the Deloitte Global Network, an independent registered public accounting firm, as stated in their report incorporated by reference herein.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28">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27, 2024;</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29">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and </w:t>
      </w:r>
      <w:hyperlink r:id="rId31">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May 15, 2024, August 14, 2024, and November 13, 2024, respectively;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7"/>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30,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w:t>
        </w:r>
      </w:hyperlink>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18, 2024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August 1,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August 13,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August 22,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September 17,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September 30,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October 11,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October 15, 2024</w:t>
        </w:r>
      </w:hyperlink>
      <w:hyperlink r:id="rId33">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December 10,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December 19,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 xml:space="preserve">January 7,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 therein which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is furnished rather than filed).</w:t>
      </w:r>
    </w:p>
    <w:p>
      <w:pPr>
        <w:spacing w:after="0" w:line="183" w:lineRule="exact"/>
        <w:rPr>
          <w:rFonts w:ascii="Times New Roman" w:cs="Times New Roman" w:eastAsia="Times New Roman" w:hAnsi="Times New Roman"/>
          <w:sz w:val="18"/>
          <w:szCs w:val="18"/>
          <w:color w:val="0000EE"/>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5">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August 3, 1998, including all amendments and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0" w:lineRule="exact"/>
        <w:rPr>
          <w:rFonts w:ascii="Times New Roman" w:cs="Times New Roman" w:eastAsia="Times New Roman" w:hAnsi="Times New Roman"/>
          <w:sz w:val="18"/>
          <w:szCs w:val="18"/>
          <w:color w:val="0000EE"/>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288 Grove Street, Suite 388, Braintree, Massachusetts 02184. You may also telephone us at (781) 875-3605.</w:t>
      </w:r>
    </w:p>
    <w:p>
      <w:pPr>
        <w:spacing w:after="0" w:line="183"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132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263144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If information in any prospectus supplement is inconsistent with the information in this prospectus, then the information in that prospectus supplement will apply and will supersede the information in this prospectus.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November 29, 2023, the last reported sale price of our common stock on The Nasdaq Capital Market was $1.26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6 of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We may include specific risk factors in supplements to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This prospectus may not be used to sell our securities unless accompanied by a prospectus supplement.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89"/>
        </w:trPr>
        <w:tc>
          <w:tcPr>
            <w:tcW w:w="220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PROSPECTUS SUMMARY</w:t>
            </w:r>
          </w:p>
        </w:tc>
        <w:tc>
          <w:tcPr>
            <w:tcW w:w="8400" w:type="dxa"/>
            <w:vAlign w:val="bottom"/>
            <w:tcBorders>
              <w:bottom w:val="single" w:sz="8" w:color="CCEEFF"/>
            </w:tcBorders>
            <w:gridSpan w:val="9"/>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32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6,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Core-Business Focus Program</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 Plan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and June 2023, we raised sufficient capital that, together with the ongoing savings from the cost reduction plan, has enabled us to continue our operations through approximately April of 2024, including completion of the V&amp;V study, perform the GLP study and submit the IDE to the US Food &amp; Drug Administration. We also, retroactive to November 1, 2023, recommenced paying Rachel Vaknin, our CFO, and Simon Sharon, our CTO and General Manager, their regular salaries and benefits that were previously reduced as a result of the cost reduction plan. Continuing the continuing commitment of Harel Gadot, our CEO, to the Company to support it financially while it completes its current development and regulatory activities, his compensation will continue to be subject to his 50% reduction as part of the cost reduction plan.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First-In-Human Clinical Cases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final report from our recently completed pivotal pre-clinical study using the LIBERTY Robotic Surgical System which is expected before the end of 2023, and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 device, we decided not to pursue First-In-Human trials or cases outside of the United States at this time to avoid conflict with our FDA submission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LIBERTY’s addressable markets are the Interventional Cardiology, Interventional Radiology and Interventional Neuroradiology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LIBERTY is being designed to have the following attributes:</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9" w:lineRule="exact"/>
        <w:rPr>
          <w:rFonts w:ascii="Times New Roman" w:cs="Times New Roman" w:eastAsia="Times New Roman" w:hAnsi="Times New Roman"/>
          <w:sz w:val="18"/>
          <w:szCs w:val="18"/>
          <w:color w:val="auto"/>
        </w:rPr>
      </w:pPr>
    </w:p>
    <w:p>
      <w:pPr>
        <w:ind w:left="1300" w:right="20" w:hanging="644"/>
        <w:spacing w:after="0" w:line="182" w:lineRule="auto"/>
        <w:tabs>
          <w:tab w:leader="none" w:pos="130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Can be made compatible with Microbot’s NitiLoop’s NovaCross products or possibly other guidewire/microcatheter technologies, that combines guidewire and microcatheter into a single device.</w:t>
      </w:r>
    </w:p>
    <w:p>
      <w:pPr>
        <w:spacing w:after="0" w:line="1" w:lineRule="exact"/>
        <w:rPr>
          <w:rFonts w:ascii="Times New Roman" w:cs="Times New Roman" w:eastAsia="Times New Roman" w:hAnsi="Times New Roman"/>
          <w:sz w:val="36"/>
          <w:szCs w:val="36"/>
          <w:color w:val="auto"/>
          <w:vertAlign w:val="superscript"/>
        </w:rPr>
      </w:pPr>
    </w:p>
    <w:p>
      <w:pPr>
        <w:ind w:left="130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rotational and tip control of its guidewire, as well as linear motion for an additional “over the wire” device.</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ind w:left="1300" w:hanging="644"/>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 LIBERTY’s intuitive remote controls aims to simplify advanced procedures while shortening the physician’s learning curve.</w:t>
      </w:r>
    </w:p>
    <w:p>
      <w:pPr>
        <w:spacing w:after="0" w:line="20"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 device.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Robotic Surgical System. 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 We expect to receive the comprehensive final report later in the fourth quarter of 2023. Subject to the final report, and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NovaCross</w:t>
      </w:r>
      <w:r>
        <w:rPr>
          <w:rFonts w:ascii="Times New Roman" w:cs="Times New Roman" w:eastAsia="Times New Roman" w:hAnsi="Times New Roman"/>
          <w:sz w:val="29"/>
          <w:szCs w:val="29"/>
          <w:b w:val="1"/>
          <w:bCs w:val="1"/>
          <w:color w:val="auto"/>
          <w:vertAlign w:val="superscript"/>
        </w:rPr>
        <w:t>TM</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Technologies and Platforms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2022 and our Quarterly Reports on Form 10-Q for the three months ended March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and September 30, 2023, as described under the caption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of this prospectus.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conversion terms,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par value $0.01 per share. As of November 29, 2023 we had 11,707,317 shares of common stock issued and outstanding and approximately 100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“MBOT.”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authority to issue 1,000,000 shares of preferred stock, par value $0.01 per share. As of the date of this prospectus, no shares of our preferred stock were outstanding or designated.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will, when issued,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29, 2023, we had outstanding: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June 2028, at an exercise price per share of $2.6719;</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350,878 shares of our common stock issuable upon the exercise of outstanding series C preferred investment options expiring in December 2028, at an exercise price per share of $2.075;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312,309 shares of our common stock issuable upon the exercise of outstanding series D preferred investment options expiring in December 2028, at an exercise price per share of $3.19;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w:t>
      </w:r>
      <w:r>
        <w:rPr>
          <w:rFonts w:ascii="Times New Roman" w:cs="Times New Roman" w:eastAsia="Times New Roman" w:hAnsi="Times New Roman"/>
          <w:sz w:val="18"/>
          <w:szCs w:val="18"/>
          <w:i w:val="1"/>
          <w:iCs w:val="1"/>
          <w:color w:val="auto"/>
        </w:rPr>
        <w:t>Description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Preferred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Rights</w:t>
      </w:r>
      <w:r>
        <w:rPr>
          <w:rFonts w:ascii="Times New Roman" w:cs="Times New Roman" w:eastAsia="Times New Roman" w:hAnsi="Times New Roman"/>
          <w:sz w:val="18"/>
          <w:szCs w:val="18"/>
          <w:color w:val="auto"/>
        </w:rPr>
        <w:t>” will apply to each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and to any common stock, preferred stock, debt security, warrant or right included in each unit,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stockholder vote required for certain 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Eighth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by 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73">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that we filed with the SEC on </w:t>
      </w:r>
      <w:hyperlink r:id="rId74">
        <w:r>
          <w:rPr>
            <w:rFonts w:ascii="Times New Roman" w:cs="Times New Roman" w:eastAsia="Times New Roman" w:hAnsi="Times New Roman"/>
            <w:sz w:val="18"/>
            <w:szCs w:val="18"/>
            <w:u w:val="single" w:color="auto"/>
            <w:color w:val="0000EE"/>
          </w:rPr>
          <w:t>May 17, 2023</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August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6">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EE"/>
          </w:rPr>
          <w:t>25, 2023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8">
        <w:r>
          <w:rPr>
            <w:rFonts w:ascii="Times New Roman" w:cs="Times New Roman" w:eastAsia="Times New Roman" w:hAnsi="Times New Roman"/>
            <w:sz w:val="18"/>
            <w:szCs w:val="18"/>
            <w:u w:val="single" w:color="auto"/>
            <w:color w:val="0000EE"/>
          </w:rPr>
          <w:t>May 31,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9">
        <w:r>
          <w:rPr>
            <w:rFonts w:ascii="Times New Roman" w:cs="Times New Roman" w:eastAsia="Times New Roman" w:hAnsi="Times New Roman"/>
            <w:sz w:val="18"/>
            <w:szCs w:val="18"/>
            <w:u w:val="single" w:color="auto"/>
            <w:color w:val="0000EE"/>
          </w:rPr>
          <w:t>June 2,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0">
        <w:r>
          <w:rPr>
            <w:rFonts w:ascii="Times New Roman" w:cs="Times New Roman" w:eastAsia="Times New Roman" w:hAnsi="Times New Roman"/>
            <w:sz w:val="18"/>
            <w:szCs w:val="18"/>
            <w:u w:val="single" w:color="auto"/>
            <w:color w:val="0000EE"/>
          </w:rPr>
          <w:t>June 6,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1">
        <w:r>
          <w:rPr>
            <w:rFonts w:ascii="Times New Roman" w:cs="Times New Roman" w:eastAsia="Times New Roman" w:hAnsi="Times New Roman"/>
            <w:sz w:val="18"/>
            <w:szCs w:val="18"/>
            <w:u w:val="single" w:color="auto"/>
            <w:color w:val="0000EE"/>
          </w:rPr>
          <w:t>June 16,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2">
        <w:r>
          <w:rPr>
            <w:rFonts w:ascii="Times New Roman" w:cs="Times New Roman" w:eastAsia="Times New Roman" w:hAnsi="Times New Roman"/>
            <w:sz w:val="18"/>
            <w:szCs w:val="18"/>
            <w:u w:val="single" w:color="auto"/>
            <w:color w:val="0000EE"/>
          </w:rPr>
          <w:t>June 22,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3">
        <w:r>
          <w:rPr>
            <w:rFonts w:ascii="Times New Roman" w:cs="Times New Roman" w:eastAsia="Times New Roman" w:hAnsi="Times New Roman"/>
            <w:sz w:val="18"/>
            <w:szCs w:val="18"/>
            <w:u w:val="single" w:color="auto"/>
            <w:color w:val="0000EE"/>
          </w:rPr>
          <w:t>June 29,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4">
        <w:r>
          <w:rPr>
            <w:rFonts w:ascii="Times New Roman" w:cs="Times New Roman" w:eastAsia="Times New Roman" w:hAnsi="Times New Roman"/>
            <w:sz w:val="18"/>
            <w:szCs w:val="18"/>
            <w:u w:val="single" w:color="auto"/>
            <w:color w:val="0000EE"/>
          </w:rPr>
          <w:t>September 5,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5">
        <w:r>
          <w:rPr>
            <w:rFonts w:ascii="Times New Roman" w:cs="Times New Roman" w:eastAsia="Times New Roman" w:hAnsi="Times New Roman"/>
            <w:sz w:val="18"/>
            <w:szCs w:val="18"/>
            <w:u w:val="single" w:color="auto"/>
            <w:color w:val="0000EE"/>
          </w:rPr>
          <w:t>October 17, 2023</w:t>
        </w:r>
      </w:hyperlink>
      <w:hyperlink r:id="rId77">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October 19,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7">
        <w:r>
          <w:rPr>
            <w:rFonts w:ascii="Times New Roman" w:cs="Times New Roman" w:eastAsia="Times New Roman" w:hAnsi="Times New Roman"/>
            <w:sz w:val="18"/>
            <w:szCs w:val="18"/>
            <w:u w:val="single" w:color="auto"/>
            <w:color w:val="0000EE"/>
          </w:rPr>
          <w:t>October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October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9">
        <w:r>
          <w:rPr>
            <w:rFonts w:ascii="Times New Roman" w:cs="Times New Roman" w:eastAsia="Times New Roman" w:hAnsi="Times New Roman"/>
            <w:sz w:val="18"/>
            <w:szCs w:val="18"/>
            <w:u w:val="single" w:color="auto"/>
            <w:color w:val="0000EE"/>
          </w:rPr>
          <w:t>November 6,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0">
        <w:r>
          <w:rPr>
            <w:rFonts w:ascii="Times New Roman" w:cs="Times New Roman" w:eastAsia="Times New Roman" w:hAnsi="Times New Roman"/>
            <w:sz w:val="18"/>
            <w:szCs w:val="18"/>
            <w:u w:val="single" w:color="auto"/>
            <w:color w:val="0000EE"/>
          </w:rPr>
          <w:t xml:space="preserve">November 8, 2023, </w:t>
        </w:r>
      </w:hyperlink>
      <w:hyperlink r:id="rId91">
        <w:r>
          <w:rPr>
            <w:rFonts w:ascii="Times New Roman" w:cs="Times New Roman" w:eastAsia="Times New Roman" w:hAnsi="Times New Roman"/>
            <w:sz w:val="18"/>
            <w:szCs w:val="18"/>
            <w:u w:val="single" w:color="auto"/>
            <w:color w:val="0000EE"/>
          </w:rPr>
          <w:t>November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2">
        <w:r>
          <w:rPr>
            <w:rFonts w:ascii="Times New Roman" w:cs="Times New Roman" w:eastAsia="Times New Roman" w:hAnsi="Times New Roman"/>
            <w:sz w:val="18"/>
            <w:szCs w:val="18"/>
            <w:u w:val="single" w:color="auto"/>
            <w:color w:val="0000EE"/>
          </w:rPr>
          <w:t xml:space="preserve">November 14,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3">
        <w:r>
          <w:rPr>
            <w:rFonts w:ascii="Times New Roman" w:cs="Times New Roman" w:eastAsia="Times New Roman" w:hAnsi="Times New Roman"/>
            <w:sz w:val="18"/>
            <w:szCs w:val="18"/>
            <w:u w:val="single" w:color="auto"/>
            <w:color w:val="0000EE"/>
          </w:rPr>
          <w:t>November 21,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 therein which is furnished rather than filed);</w:t>
      </w:r>
    </w:p>
    <w:p>
      <w:pPr>
        <w:spacing w:after="0" w:line="179"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9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September 19, 2023 (but only with respect to information required by Part III of our Annual Report on </w:t>
      </w:r>
      <w:hyperlink r:id="rId7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which information shall update and supersede information included in Part III of our Annual Report on Form 10-K for the fiscal year ended December 31, 2022);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6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3,788,550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156845</wp:posOffset>
            </wp:positionV>
            <wp:extent cx="4020185" cy="1465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6">
                      <a:extLst>
                        <a:ext uri="{28A0092B-C50C-407E-A947-70E740481C1C}"/>
                      </a:extLst>
                    </a:blip>
                    <a:srcRect/>
                    <a:stretch>
                      <a:fillRect/>
                    </a:stretch>
                  </pic:blipFill>
                  <pic:spPr bwMode="auto">
                    <a:xfrm>
                      <a:off x="0" y="0"/>
                      <a:ext cx="402018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H.C. Wainwright &amp; Co.</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January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lvl w:ilvl="1">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jpe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95" Type="http://schemas.openxmlformats.org/officeDocument/2006/relationships/image" Target="media/image48.png"/><Relationship Id="rId96" Type="http://schemas.openxmlformats.org/officeDocument/2006/relationships/image" Target="media/image49.jpeg"/><Relationship Id="rId97" Type="http://schemas.openxmlformats.org/officeDocument/2006/relationships/image" Target="media/image50.png"/><Relationship Id="rId28" Type="http://schemas.openxmlformats.org/officeDocument/2006/relationships/hyperlink" Target="https://www.sec.gov/Archives/edgar/data/883975/000149315224011521/form10-k.htm" TargetMode="External"/><Relationship Id="rId29" Type="http://schemas.openxmlformats.org/officeDocument/2006/relationships/hyperlink" Target="https://www.sec.gov/Archives/edgar/data/883975/000149315224019535/form10-q.htm" TargetMode="External"/><Relationship Id="rId30" Type="http://schemas.openxmlformats.org/officeDocument/2006/relationships/hyperlink" Target="https://www.sec.gov/Archives/edgar/data/883975/000149315224032031/form10-q.htm" TargetMode="External"/><Relationship Id="rId31" Type="http://schemas.openxmlformats.org/officeDocument/2006/relationships/hyperlink" Target="https://www.sec.gov/Archives/edgar/data/883975/000149315224045136/form10-q.htm" TargetMode="External"/><Relationship Id="rId32" Type="http://schemas.openxmlformats.org/officeDocument/2006/relationships/hyperlink" Target="https://www.sec.gov/Archives/edgar/data/883975/000149315224007874/form8-k.htm" TargetMode="External"/><Relationship Id="rId33" Type="http://schemas.openxmlformats.org/officeDocument/2006/relationships/hyperlink" Target="https://www.sec.gov/Archives/edgar/data/883975/000149315224028281/form8-k.htm" TargetMode="External"/><Relationship Id="rId34" Type="http://schemas.openxmlformats.org/officeDocument/2006/relationships/hyperlink" Target="https://www.sec.gov/Archives/edgar/data/883975/000149315224029869/form8-k.htm" TargetMode="External"/><Relationship Id="rId35" Type="http://schemas.openxmlformats.org/officeDocument/2006/relationships/hyperlink" Target="https://www.sec.gov/Archives/edgar/data/883975/000149315224031474/form8-k.htm" TargetMode="External"/><Relationship Id="rId36" Type="http://schemas.openxmlformats.org/officeDocument/2006/relationships/hyperlink" Target="https://www.sec.gov/Archives/edgar/data/883975/000149315224033503/form8-k.htm" TargetMode="External"/><Relationship Id="rId37" Type="http://schemas.openxmlformats.org/officeDocument/2006/relationships/hyperlink" Target="https://www.sec.gov/Archives/edgar/data/883975/000149315224036539/form8-k.htm" TargetMode="External"/><Relationship Id="rId38" Type="http://schemas.openxmlformats.org/officeDocument/2006/relationships/hyperlink" Target="https://www.sec.gov/Archives/edgar/data/883975/000149315224038702/form8-k.htm" TargetMode="External"/><Relationship Id="rId39" Type="http://schemas.openxmlformats.org/officeDocument/2006/relationships/hyperlink" Target="https://www.sec.gov/Archives/edgar/data/883975/000149315224040913/form8-k.htm" TargetMode="External"/><Relationship Id="rId40" Type="http://schemas.openxmlformats.org/officeDocument/2006/relationships/hyperlink" Target="https://www.sec.gov/Archives/edgar/data/883975/000149315224041048/form8-k.htm" TargetMode="External"/><Relationship Id="rId41" Type="http://schemas.openxmlformats.org/officeDocument/2006/relationships/hyperlink" Target="https://www.sec.gov/Archives/edgar/data/883975/000149315224049368/form8-k.htm" TargetMode="External"/><Relationship Id="rId42" Type="http://schemas.openxmlformats.org/officeDocument/2006/relationships/hyperlink" Target="https://www.sec.gov/Archives/edgar/data/883975/000149315224050799/form8-k.htm" TargetMode="External"/><Relationship Id="rId43" Type="http://schemas.openxmlformats.org/officeDocument/2006/relationships/hyperlink" Target="https://www.sec.gov/Archives/edgar/data/883975/000149315225000366/form8-k.htm" TargetMode="External"/><Relationship Id="rId44" Type="http://schemas.openxmlformats.org/officeDocument/2006/relationships/hyperlink" Target="https://www.sec.gov/Archives/edgar/data/883975/000149315225001133/form8-k.htm" TargetMode="External"/><Relationship Id="rId45" Type="http://schemas.openxmlformats.org/officeDocument/2006/relationships/hyperlink" Target="https://www.sec.gov/Archives/edgar/data/883975/0001047469-98-029068.txt" TargetMode="External"/><Relationship Id="rId73" Type="http://schemas.openxmlformats.org/officeDocument/2006/relationships/hyperlink" Target="https://www.sec.gov/Archives/edgar/data/883975/000149315223010223/form10-k.htm" TargetMode="External"/><Relationship Id="rId74" Type="http://schemas.openxmlformats.org/officeDocument/2006/relationships/hyperlink" Target="https://www.sec.gov/Archives/edgar/data/883975/000149315223017966/form10-q.htm" TargetMode="External"/><Relationship Id="rId75" Type="http://schemas.openxmlformats.org/officeDocument/2006/relationships/hyperlink" Target="https://www.sec.gov/Archives/edgar/data/883975/000149315223028081/form10-q.htm" TargetMode="External"/><Relationship Id="rId76" Type="http://schemas.openxmlformats.org/officeDocument/2006/relationships/hyperlink" Target="https://www.sec.gov/ix?doc=/Archives/edgar/data/883975/000149315223041069/form10-q.htm" TargetMode="External"/><Relationship Id="rId77" Type="http://schemas.openxmlformats.org/officeDocument/2006/relationships/hyperlink" Target="https://www.sec.gov/ix?doc=/Archives/edgar/data/883975/000149315223019000/form8-k.htm" TargetMode="External"/><Relationship Id="rId78" Type="http://schemas.openxmlformats.org/officeDocument/2006/relationships/hyperlink" Target="https://www.sec.gov/ix?doc=/Archives/edgar/data/883975/000149315223019537/form8-k.htm" TargetMode="External"/><Relationship Id="rId79" Type="http://schemas.openxmlformats.org/officeDocument/2006/relationships/hyperlink" Target="https://www.sec.gov/ix?doc=/Archives/edgar/data/883975/000149315223019871/form8-k.htm" TargetMode="External"/><Relationship Id="rId80" Type="http://schemas.openxmlformats.org/officeDocument/2006/relationships/hyperlink" Target="https://www.sec.gov/ix?doc=/Archives/edgar/data/883975/000149315223020309/form8-k.htm" TargetMode="External"/><Relationship Id="rId81" Type="http://schemas.openxmlformats.org/officeDocument/2006/relationships/hyperlink" Target="https://www.sec.gov/ix?doc=/Archives/edgar/data/883975/000149315223021553/form8-k.htm" TargetMode="External"/><Relationship Id="rId82" Type="http://schemas.openxmlformats.org/officeDocument/2006/relationships/hyperlink" Target="https://www.sec.gov/ix?doc=/Archives/edgar/data/883975/000149315223022078/form8-k.htm" TargetMode="External"/><Relationship Id="rId83" Type="http://schemas.openxmlformats.org/officeDocument/2006/relationships/hyperlink" Target="https://www.sec.gov/ix?doc=/Archives/edgar/data/883975/000149315223022844/form8-k.htm" TargetMode="External"/><Relationship Id="rId84" Type="http://schemas.openxmlformats.org/officeDocument/2006/relationships/hyperlink" Target="https://www.sec.gov/ix?doc=/Archives/edgar/data/883975/000149315223031689/form8-k.htm" TargetMode="External"/><Relationship Id="rId85" Type="http://schemas.openxmlformats.org/officeDocument/2006/relationships/hyperlink" Target="https://www.sec.gov/ix?doc=/Archives/edgar/data/883975/000149315223037454/form8-k.htm" TargetMode="External"/><Relationship Id="rId86" Type="http://schemas.openxmlformats.org/officeDocument/2006/relationships/hyperlink" Target="https://www.sec.gov/ix?doc=/Archives/edgar/data/883975/000149315223037676/form8-k.htm" TargetMode="External"/><Relationship Id="rId87" Type="http://schemas.openxmlformats.org/officeDocument/2006/relationships/hyperlink" Target="https://www.sec.gov/ix?doc=/Archives/edgar/data/883975/000149315223038050/form8-k.htm" TargetMode="External"/><Relationship Id="rId88" Type="http://schemas.openxmlformats.org/officeDocument/2006/relationships/hyperlink" Target="https://www.sec.gov/ix?doc=/Archives/edgar/data/883975/000149315223038792/form8-k.htm" TargetMode="External"/><Relationship Id="rId89" Type="http://schemas.openxmlformats.org/officeDocument/2006/relationships/hyperlink" Target="https://www.sec.gov/ix?doc=/Archives/edgar/data/883975/000149315223039509/form8-k.htm" TargetMode="External"/><Relationship Id="rId90" Type="http://schemas.openxmlformats.org/officeDocument/2006/relationships/hyperlink" Target="https://www.sec.gov/ix?doc=/Archives/edgar/data/883975/000149315223039834/form8-k.htm" TargetMode="External"/><Relationship Id="rId91" Type="http://schemas.openxmlformats.org/officeDocument/2006/relationships/hyperlink" Target="https://www.sec.gov/ix?doc=/Archives/edgar/data/883975/000149315223040331/form8-k.htm" TargetMode="External"/><Relationship Id="rId92" Type="http://schemas.openxmlformats.org/officeDocument/2006/relationships/hyperlink" Target="https://www.sec.gov/ix?doc=/Archives/edgar/data/883975/000149315223041009/form8-k.htm" TargetMode="External"/><Relationship Id="rId93" Type="http://schemas.openxmlformats.org/officeDocument/2006/relationships/hyperlink" Target="https://www.sec.gov/Archives/edgar/data/883975/000149315223042204/form8-k.htm" TargetMode="External"/><Relationship Id="rId94" Type="http://schemas.openxmlformats.org/officeDocument/2006/relationships/hyperlink" Target="https://www.sec.gov/Archives/edgar/data/883975/000149315223033004/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2025-01-10T06:41:15Z</dcterms:created>
  <dcterms:modified xsi:type="dcterms:W3CDTF">2025-01-10T06:41:15Z</dcterms:modified>
</cp:coreProperties>
</file>