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12,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12, 2026, Microbot Medical Inc. (the “Company”) issued a press release reaffirming its 2025 achievements and announcing its key 2026 anticipated milestones.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Item 8.01 of this Current Report on Form 8-K may contain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business, regulatory and financial milestones.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those projected in any forward-looking statements due to numerous factors. These forward-looking statements are made as of the date of this Form 8-K,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Form 8-K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0" w:type="dxa"/>
            <w:vAlign w:val="bottom"/>
          </w:tcPr>
          <w:p>
            <w:pPr>
              <w:spacing w:after="0"/>
              <w:rPr>
                <w:sz w:val="18"/>
                <w:szCs w:val="18"/>
                <w:color w:val="auto"/>
              </w:rPr>
            </w:pPr>
          </w:p>
        </w:tc>
        <w:tc>
          <w:tcPr>
            <w:tcW w:w="9280" w:type="dxa"/>
            <w:vAlign w:val="bottom"/>
          </w:tcPr>
          <w:p>
            <w:pPr>
              <w:spacing w:after="0"/>
              <w:rPr>
                <w:sz w:val="18"/>
                <w:szCs w:val="18"/>
                <w:color w:val="auto"/>
              </w:rPr>
            </w:pPr>
          </w:p>
        </w:tc>
      </w:tr>
      <w:tr>
        <w:trPr>
          <w:trHeight w:val="23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0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w:t>
            </w:r>
          </w:p>
        </w:tc>
        <w:tc>
          <w:tcPr>
            <w:tcW w:w="9280" w:type="dxa"/>
            <w:vAlign w:val="bottom"/>
            <w:tcBorders>
              <w:top w:val="single" w:sz="8" w:color="auto"/>
            </w:tcBorders>
          </w:tcPr>
          <w:p>
            <w:pPr>
              <w:spacing w:after="0"/>
              <w:rPr>
                <w:sz w:val="24"/>
                <w:szCs w:val="24"/>
                <w:color w:val="auto"/>
              </w:rPr>
            </w:pPr>
          </w:p>
        </w:tc>
      </w:tr>
      <w:tr>
        <w:trPr>
          <w:trHeight w:val="23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156845</wp:posOffset>
            </wp:positionV>
            <wp:extent cx="2348865" cy="9944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886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Continues its 2025 Momentum; Announces Key 2026 Milestones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Limited Market Release (LMR) of the LIBERTY</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System is on Schedule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Building on Positive Customer Feedback and Growing Market Enthusiasm, the Company Prepares for Full Market Release (FMR) in Q2</w:t>
      </w:r>
    </w:p>
    <w:p>
      <w:pPr>
        <w:spacing w:after="0" w:line="23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HINGHAM, Mass., Jan. 12, 2026 — </w:t>
      </w:r>
      <w:r>
        <w:rPr>
          <w:rFonts w:ascii="Times New Roman" w:cs="Times New Roman" w:eastAsia="Times New Roman" w:hAnsi="Times New Roman"/>
          <w:sz w:val="18"/>
          <w:szCs w:val="18"/>
          <w:color w:val="auto"/>
        </w:rPr>
        <w:t>Microbot Medical Inc. (Nasdaq: MBOT), developer and distributor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 System, is continuing to generate significant market and new customer momentum as it enters 2026. In 2025, the Company met its milestones, including several pivotal achievements such as obtaining FDA 510(k) clearance for LIBERTY, the first single-use, remotely operated robotic system for peripheral endovascular procedures. The Company initiated its limited market release, quickly achieving its first customer to adopt LIBERTY for patient care. The Company is positioning itself to leverage this momentum and commercialize LIBERTY across a targeted U.S. market of 2.5 million peripheral endovascular procedures annually. This progress enables the Company to pursue and strive for the 2026 anticipated milestones listed below.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2025 Operational and Business Achievements</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FDA clearance</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the Limited Market Release of LIBERTY, strategically introducing LIBERTY into select high procedure volume regions, leveraging early demand to accelerate adoption.</w:t>
      </w: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Emory University Hospital, a nationally recognized academic medical center in Atlanta, became the first hospital to adopt the LIBERTY system shortly after the company commenced its commercialization. The Company is collaborating with Emory to establish an Endovascular Robotics Program in interventional radiology to enhance the growing and evolving specialty field.</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an experienced commercial leadership team, including in key sales and marketing roles, to strengthen the Company’s launch readiness plans.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cross-functional team to support launch readiness of LIBERTY.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data from the ACCESS PVI pivotal trial at the Society of Interventional Radiology (SIR) annual meeting, highlighting 100% robotic navigation success, a 92% reduction in radiation exposure and no adverse device events reported.</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Attended CIO, the first scientific conference since receiving FDA clearance, with overwhelming positive feedback from attendees.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Partnered with third-party manufacturers and logistics organizations to ensure greater efficiencies and meet expected customer demand.</w:t>
      </w:r>
    </w:p>
    <w:p>
      <w:pPr>
        <w:spacing w:after="0" w:line="9" w:lineRule="exact"/>
        <w:rPr>
          <w:rFonts w:ascii="Times New Roman" w:cs="Times New Roman" w:eastAsia="Times New Roman" w:hAnsi="Times New Roman"/>
          <w:sz w:val="18"/>
          <w:szCs w:val="18"/>
          <w:color w:val="auto"/>
        </w:rPr>
      </w:pPr>
    </w:p>
    <w:p>
      <w:pPr>
        <w:ind w:left="660" w:hanging="328"/>
        <w:spacing w:after="0" w:line="182"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Advanced Teleintervention™ collaboration with Corewell Health™ as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successfully performed simulated vascular navigation across two sites within the Corewell Health™ system, located five miles apart.</w:t>
      </w:r>
    </w:p>
    <w:p>
      <w:pPr>
        <w:spacing w:after="0" w:line="1" w:lineRule="exact"/>
        <w:rPr>
          <w:rFonts w:ascii="Times New Roman" w:cs="Times New Roman" w:eastAsia="Times New Roman" w:hAnsi="Times New Roman"/>
          <w:sz w:val="36"/>
          <w:szCs w:val="36"/>
          <w:color w:val="auto"/>
          <w:vertAlign w:val="superscript"/>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its IP Portfolio with Global Patent Allowances in the U.S., Japan, Europe and Israel, resulting in a total of 20 patents granted and 52 patent applications pending approval.</w:t>
      </w:r>
    </w:p>
    <w:p>
      <w:pPr>
        <w:ind w:left="660" w:hanging="328"/>
        <w:spacing w:after="0" w:line="192" w:lineRule="auto"/>
        <w:tabs>
          <w:tab w:leader="none" w:pos="660" w:val="left"/>
        </w:tabs>
        <w:numPr>
          <w:ilvl w:val="0"/>
          <w:numId w:val="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Added as a member of the Russell Microcap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5"/>
          <w:szCs w:val="15"/>
          <w:color w:val="auto"/>
        </w:rPr>
        <w:t xml:space="preserve"> Index, which Microbot believes reflects its continued strong execution and progress.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Bolstered the balance sheet, which also included a non-dilutive grant, to further strengthen the company’s commercial capabilities.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Anticipated 2026 Operational and Commercial Milestones</w:t>
      </w:r>
    </w:p>
    <w:p>
      <w:pPr>
        <w:spacing w:after="0" w:line="229" w:lineRule="exact"/>
        <w:rPr>
          <w:sz w:val="20"/>
          <w:szCs w:val="20"/>
          <w:color w:val="auto"/>
        </w:rPr>
      </w:pPr>
    </w:p>
    <w:p>
      <w:pPr>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the Full Market Release (FMR) of the LIBERTY System in Q2 2026, in conjunction with the Society of Interventional Radiology (SIR) conference.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customer base by attracting early adopters and securing new hospitals with medium-to-high volume target procedures.</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Validate the LIBERTY System’s significant market opportunity, with the expansion of the types of procedures that are being performed as well as the end user call point to include interventional radiologists, vascular surgeons, and interventional cardiologists.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commercial and operational infrastructure to support expansion into markets outside the USA, either under FDA Clerance or other regional and local regulatory approvals.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the Company’s core capabilities by filling cross-functional roles with the right talent to support execution and future growth.</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strong presence at key medical societies and conferences, including the Society of Interventional Oncology (SIO) and International Symposium on Endovascular Therapy (ISET) in February, Society of Interventional Radiology (SIR) in April, Global Embolization Symposium and Technologies (GEST) in May and Cardiovascular and Interventional Radiological Society of Europe (CIRSE) in September.</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establish pipeline to allow future growth to other interventional spaces (cardiology, neurovascular) and increase the utilization opportunity within the peripheral space.</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collaborations with leading institutions in the areas of teleintervention and autonomous robotics and explore additional opportunities to leverage the innovative LIBERTY technology.</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protect the Company’s global IP portfolio, which creates barriers to entry, and allows the Company to monetize its innovative technology.</w:t>
      </w:r>
    </w:p>
    <w:p>
      <w:pPr>
        <w:ind w:left="660" w:right="20" w:hanging="328"/>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the strong balance sheet to fully execute its near and medium-term commercial strategy in the U.S. and globally, and to support its product development pipeline.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Medical Inc. (NASDAQ: MBOT) is a commercial stage medical device company focused on transforming endovascular procedures through advanced robotic technology. Microbot’s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the first single-use, remotely operated robotic solution designed for precision, efficiency, and safety. Backed by a strong intellectual property portfolio and a commitment to innovation, Microbot is driving the future of endovascular care.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 without limitation, market</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conditions, risks inherent in the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and in the development of future versions of or applications for the system, uncertainty in the results of regulatory pathways and regulatory approvals,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 maintenance of</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 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7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2026-01-12T07:38:05Z</dcterms:created>
  <dcterms:modified xsi:type="dcterms:W3CDTF">2026-01-12T07:38:05Z</dcterms:modified>
</cp:coreProperties>
</file>