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1, 2019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Hingham, Massachusetts 02043</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March 1, 2019, Microbot Medical Inc. (the “Company”) issued a press release announcing that it is maintaining its milestone targets for 2019 following the recently announced decision of the New York State Supreme Court to rescind the Stock Purchase Agreement the Company entered into with two affiliated investors, in connection with its June 2017 Registered Direct Offering of approximately $10 million of common stock.</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rescission would require the investors to transfer back to the Company the shares they purchased in that offering, and the Company to return to those investors their purchase price of $3.375 million. The litigation, captioned Sabby Healthcare Master Fund Ltd. and Sabby Volatility Warrant Master Fund Ltd., Plaintiffs, against Microbot Medical Inc., has been previously disclosed in the Company’s filings with the Securities and Exchange Commission.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press release is attached as Exhibit 99.1 to this Current Report on Form 8-K and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spacing w:after="0"/>
        <w:tabs>
          <w:tab w:leader="none" w:pos="10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dated March 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2799080</wp:posOffset>
            </wp:positionH>
            <wp:positionV relativeFrom="page">
              <wp:posOffset>226060</wp:posOffset>
            </wp:positionV>
            <wp:extent cx="1972310" cy="763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72310" cy="7632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Microbot Medical Maintains 2019 Milestone Targets Following Recent Court Decision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Hingham, MA – March 1, 2019 – Microbot Medical Inc. (Nasdaq CM: MBOT) is maintaining its milestone targets for 2019 following the recently announced decision of the New York State Supreme Court to rescind the Stock Purchase Agreement (“SPA”) Microbot entered into with two affiliated investors in connection with its June 2017 Registered Direct Offering of approximately $10 million of common stock. The rescission would require the investors to transfer back to Microbot the shares they purchased in that offering, and Microbot to return to those investors their purchase price of $3.375 million. The litigation, captioned Sabby Healthcare Master Fund Ltd. and Sabby Volatility Warrant Master Fund Ltd., Plaintiffs, against Microbot Medical Inc., has been previously disclosed in Microbot’s filings with the Securities and Exchange Commission.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litigation is not related in any way to the Company’s products and/or any other development programs. The Company is disappointed with the Court’s decision and, together with the Company’s legal counsel, is in the process of reviewing the Court’s decision and is evaluating all potential options, including filing an appeal.</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raised approximately $25 million through five separate equity offerings from multiple investors since 2017, with the latest offerings of approximately $11.3 million aggregate gross proceeds raised by Microbot in January 2019. The Company continues to believe that with the amounts recently raised and its current cash balance and excluding the amount in dispute, it has the resources to pursue the 2019 milestones that it disclosed in a press release issued on January 7, 2019. These include, but not limited to:</w:t>
      </w:r>
    </w:p>
    <w:p>
      <w:pPr>
        <w:spacing w:after="0" w:line="187" w:lineRule="exact"/>
        <w:rPr>
          <w:sz w:val="20"/>
          <w:szCs w:val="20"/>
          <w:color w:val="auto"/>
        </w:rPr>
      </w:pPr>
    </w:p>
    <w:p>
      <w:pPr>
        <w:ind w:left="660" w:right="20" w:hanging="328"/>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Completing the pivotal pre-clinical study to further evaluate the safety and efficacy of the SCS being performed at Washington University in St. Louis School of Medicine and Wayne State University in the third quarter of 2019.</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Finalize the FDA regulatory pre-submission request for the Company’s Self-Cleaning Shunt (SCS) in the second half of 2019.</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when necessary, the Company will continue to invest the necessary resources to continue establishing a sustainable competitive advantage, such as strengthening and expanding its IP portfolio and seeking additional opportunities to add assets to its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The Company has achieved several of the milestones it previously disclosed, including validating its SCS in an independent lab setting, expanding its IP portfolio to create further barriers to entry and bolstering its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Microbot™, which was founded in 2010 and commenced operations in 2011, became a NASDAQ listed company on November 28, 2016. The Company specializes in transformational micro-robotic medical technologies leveraging the natural and artificial lumens within the human body. Microbot’s current technological platforms, ViRob</w:t>
      </w:r>
      <w:r>
        <w:rPr>
          <w:rFonts w:ascii="Arial" w:cs="Arial" w:eastAsia="Arial" w:hAnsi="Arial"/>
          <w:sz w:val="26"/>
          <w:szCs w:val="26"/>
          <w:color w:val="auto"/>
          <w:vertAlign w:val="superscript"/>
        </w:rPr>
        <w:t>TM</w:t>
      </w:r>
      <w:r>
        <w:rPr>
          <w:rFonts w:ascii="Arial" w:cs="Arial" w:eastAsia="Arial" w:hAnsi="Arial"/>
          <w:sz w:val="16"/>
          <w:szCs w:val="16"/>
          <w:color w:val="auto"/>
        </w:rPr>
        <w:t>, TipCAT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CardioSert</w:t>
      </w:r>
      <w:r>
        <w:rPr>
          <w:rFonts w:ascii="Arial" w:cs="Arial" w:eastAsia="Arial" w:hAnsi="Arial"/>
          <w:sz w:val="26"/>
          <w:szCs w:val="26"/>
          <w:color w:val="auto"/>
          <w:vertAlign w:val="superscript"/>
        </w:rPr>
        <w:t>TM</w:t>
      </w:r>
      <w:r>
        <w:rPr>
          <w:rFonts w:ascii="Arial" w:cs="Arial" w:eastAsia="Arial" w:hAnsi="Arial"/>
          <w:sz w:val="16"/>
          <w:szCs w:val="16"/>
          <w:color w:val="auto"/>
        </w:rPr>
        <w:t>, are comprised of three highly advanced technologies, from which the Company is</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currently developing its first product candidate: the Self 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and focusing on the development of a Multi Generation Pipeline Portfolio (MGPP) utilizing all technologies. Further information about Microbot Medical is available at http://www.microbotmedical.com.</w:t>
      </w:r>
    </w:p>
    <w:p>
      <w:pPr>
        <w:spacing w:after="0" w:line="20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please visit http://www.microbotmedical.com/technology/virob/.</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6"/>
          <w:szCs w:val="16"/>
          <w:color w:val="auto"/>
        </w:rPr>
        <w:t>TipCAT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is a transformational self-propelled, flexible, and semi-disposable locomotive device providing see &amp; treat capabilities within tubular lumens in the human body such as the colon, blood vessels, and the urinary tract. Its locomotion mechanism is perfectly suitable to navigate and crawl through natural</w:t>
      </w:r>
    </w:p>
    <w:p>
      <w:pPr>
        <w:ind w:right="20" w:firstLine="8"/>
        <w:spacing w:after="0" w:line="270" w:lineRule="auto"/>
        <w:tabs>
          <w:tab w:leader="none" w:pos="197" w:val="left"/>
        </w:tabs>
        <w:numPr>
          <w:ilvl w:val="0"/>
          <w:numId w:val="3"/>
        </w:numPr>
        <w:rPr>
          <w:rFonts w:ascii="Arial" w:cs="Arial" w:eastAsia="Arial" w:hAnsi="Arial"/>
          <w:sz w:val="18"/>
          <w:szCs w:val="18"/>
          <w:color w:val="auto"/>
        </w:rPr>
      </w:pPr>
      <w:r>
        <w:rPr>
          <w:rFonts w:ascii="Arial" w:cs="Arial" w:eastAsia="Arial" w:hAnsi="Arial"/>
          <w:sz w:val="18"/>
          <w:szCs w:val="18"/>
          <w:color w:val="auto"/>
        </w:rPr>
        <w:t>artificial tubular lumens, applying the minimal necessary pressure to achieve the adequate friction required for gentle, fast, and safe advancement within the human body. To learn more about TipCAT</w:t>
      </w:r>
      <w:r>
        <w:rPr>
          <w:rFonts w:ascii="Arial" w:cs="Arial" w:eastAsia="Arial" w:hAnsi="Arial"/>
          <w:sz w:val="30"/>
          <w:szCs w:val="30"/>
          <w:color w:val="auto"/>
          <w:vertAlign w:val="superscript"/>
        </w:rPr>
        <w:t>TM</w:t>
      </w:r>
      <w:r>
        <w:rPr>
          <w:rFonts w:ascii="Arial" w:cs="Arial" w:eastAsia="Arial" w:hAnsi="Arial"/>
          <w:sz w:val="18"/>
          <w:szCs w:val="18"/>
          <w:color w:val="auto"/>
        </w:rPr>
        <w:t>, visit http://www.microbotmedical.com/technology/tipcat/.</w:t>
      </w:r>
    </w:p>
    <w:p>
      <w:pPr>
        <w:spacing w:after="0" w:line="57"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contemplates a unique combination of a guidewire and microcatheter, technologies that are broadly used for endoluminal surgery.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features unique steering and stiffness control capabilities, and it was originally developed to support interventional cardiologists in crossing the most complex lesions called chronic total occlusion (CTO) during percutaneous coronary intervention (PCI) procedures and has</w:t>
      </w:r>
    </w:p>
    <w:p>
      <w:pPr>
        <w:jc w:val="both"/>
        <w:spacing w:after="0" w:line="217" w:lineRule="auto"/>
        <w:rPr>
          <w:sz w:val="20"/>
          <w:szCs w:val="20"/>
          <w:color w:val="auto"/>
        </w:rPr>
      </w:pPr>
      <w:r>
        <w:rPr>
          <w:rFonts w:ascii="Arial" w:cs="Arial" w:eastAsia="Arial" w:hAnsi="Arial"/>
          <w:sz w:val="18"/>
          <w:szCs w:val="18"/>
          <w:color w:val="auto"/>
        </w:rPr>
        <w:t>the potential to be used in other spaces and applications, such as peripheral intervention, neurosurgery and urology.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was part of a technological incubator supported by the Israel Innovation Authorities (formerly known as the Office of the Chief Scientist, or OCS), and its device has successfully completed pre-clinical testing.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 outcome of its studies to evaluate the SCS and other existing and future technologies, uncertainty in the results of pre-clinical and clinical trials or regulatory approvals, need and ability to obtain future capital, maintenance of intellectual property rights, and the outcomes with respect to any litigation the Company is involved in from time to time (including the success of any appeals).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2019-12-28T15:19:47Z</dcterms:created>
  <dcterms:modified xsi:type="dcterms:W3CDTF">2019-12-28T15:19:47Z</dcterms:modified>
</cp:coreProperties>
</file>