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6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February 4, 2025</w:t>
      </w:r>
    </w:p>
    <w:p>
      <w:pPr>
        <w:spacing w:after="0" w:line="20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MICROBOT MEDICAL INC.</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1" w:lineRule="exact"/>
        <w:rPr>
          <w:sz w:val="24"/>
          <w:szCs w:val="24"/>
          <w:color w:val="auto"/>
        </w:rPr>
      </w:pPr>
    </w:p>
    <w:tbl>
      <w:tblPr>
        <w:tblLayout w:type="fixed"/>
        <w:tblInd w:w="780" w:type="dxa"/>
        <w:tblCellMar>
          <w:top w:w="0" w:type="dxa"/>
          <w:left w:w="0" w:type="dxa"/>
          <w:bottom w:w="0" w:type="dxa"/>
          <w:right w:w="0" w:type="dxa"/>
        </w:tblCellMar>
      </w:tblPr>
      <w:tr>
        <w:trPr>
          <w:trHeight w:val="216"/>
        </w:trPr>
        <w:tc>
          <w:tcPr>
            <w:tcW w:w="216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554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000-19871</w:t>
            </w:r>
          </w:p>
        </w:tc>
        <w:tc>
          <w:tcPr>
            <w:tcW w:w="1660" w:type="dxa"/>
            <w:vAlign w:val="bottom"/>
          </w:tcPr>
          <w:p>
            <w:pPr>
              <w:jc w:val="center"/>
              <w:ind w:left="170"/>
              <w:spacing w:after="0"/>
              <w:rPr>
                <w:sz w:val="20"/>
                <w:szCs w:val="20"/>
                <w:color w:val="auto"/>
              </w:rPr>
            </w:pPr>
            <w:r>
              <w:rPr>
                <w:rFonts w:ascii="Times New Roman" w:cs="Times New Roman" w:eastAsia="Times New Roman" w:hAnsi="Times New Roman"/>
                <w:sz w:val="18"/>
                <w:szCs w:val="18"/>
                <w:b w:val="1"/>
                <w:bCs w:val="1"/>
                <w:color w:val="auto"/>
              </w:rPr>
              <w:t>94-3078125</w:t>
            </w:r>
          </w:p>
        </w:tc>
      </w:tr>
      <w:tr>
        <w:trPr>
          <w:trHeight w:val="216"/>
        </w:trPr>
        <w:tc>
          <w:tcPr>
            <w:tcW w:w="216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(State or other jurisdiction</w:t>
            </w:r>
          </w:p>
        </w:tc>
        <w:tc>
          <w:tcPr>
            <w:tcW w:w="554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8"/>
              </w:rPr>
              <w:t>(Commission</w:t>
            </w:r>
          </w:p>
        </w:tc>
        <w:tc>
          <w:tcPr>
            <w:tcW w:w="1660" w:type="dxa"/>
            <w:vAlign w:val="bottom"/>
          </w:tcPr>
          <w:p>
            <w:pPr>
              <w:jc w:val="center"/>
              <w:ind w:left="170"/>
              <w:spacing w:after="0"/>
              <w:rPr>
                <w:sz w:val="20"/>
                <w:szCs w:val="20"/>
                <w:color w:val="auto"/>
              </w:rPr>
            </w:pPr>
            <w:r>
              <w:rPr>
                <w:rFonts w:ascii="Times New Roman" w:cs="Times New Roman" w:eastAsia="Times New Roman" w:hAnsi="Times New Roman"/>
                <w:sz w:val="18"/>
                <w:szCs w:val="18"/>
                <w:b w:val="1"/>
                <w:bCs w:val="1"/>
                <w:color w:val="auto"/>
                <w:w w:val="99"/>
              </w:rPr>
              <w:t>(IRS Employer</w:t>
            </w:r>
          </w:p>
        </w:tc>
      </w:tr>
      <w:tr>
        <w:trPr>
          <w:trHeight w:val="238"/>
        </w:trPr>
        <w:tc>
          <w:tcPr>
            <w:tcW w:w="216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8"/>
              </w:rPr>
              <w:t>of incorporation)</w:t>
            </w:r>
          </w:p>
        </w:tc>
        <w:tc>
          <w:tcPr>
            <w:tcW w:w="554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rPr>
              <w:t>File Number)</w:t>
            </w:r>
          </w:p>
        </w:tc>
        <w:tc>
          <w:tcPr>
            <w:tcW w:w="1660" w:type="dxa"/>
            <w:vAlign w:val="bottom"/>
          </w:tcPr>
          <w:p>
            <w:pPr>
              <w:jc w:val="center"/>
              <w:ind w:left="170"/>
              <w:spacing w:after="0"/>
              <w:rPr>
                <w:sz w:val="20"/>
                <w:szCs w:val="20"/>
                <w:color w:val="auto"/>
              </w:rPr>
            </w:pPr>
            <w:r>
              <w:rPr>
                <w:rFonts w:ascii="Times New Roman" w:cs="Times New Roman" w:eastAsia="Times New Roman" w:hAnsi="Times New Roman"/>
                <w:sz w:val="18"/>
                <w:szCs w:val="18"/>
                <w:b w:val="1"/>
                <w:bCs w:val="1"/>
                <w:color w:val="auto"/>
                <w:w w:val="99"/>
              </w:rPr>
              <w:t>Identification No.)</w:t>
            </w:r>
          </w:p>
        </w:tc>
      </w:tr>
      <w:tr>
        <w:trPr>
          <w:trHeight w:val="410"/>
        </w:trPr>
        <w:tc>
          <w:tcPr>
            <w:tcW w:w="2160" w:type="dxa"/>
            <w:vAlign w:val="bottom"/>
          </w:tcPr>
          <w:p>
            <w:pPr>
              <w:spacing w:after="0"/>
              <w:rPr>
                <w:sz w:val="24"/>
                <w:szCs w:val="24"/>
                <w:color w:val="auto"/>
              </w:rPr>
            </w:pPr>
          </w:p>
        </w:tc>
        <w:tc>
          <w:tcPr>
            <w:tcW w:w="554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288 Grove Street, Suite 388</w:t>
            </w:r>
          </w:p>
        </w:tc>
        <w:tc>
          <w:tcPr>
            <w:tcW w:w="1660" w:type="dxa"/>
            <w:vAlign w:val="bottom"/>
          </w:tcPr>
          <w:p>
            <w:pPr>
              <w:spacing w:after="0"/>
              <w:rPr>
                <w:sz w:val="24"/>
                <w:szCs w:val="24"/>
                <w:color w:val="auto"/>
              </w:rPr>
            </w:pPr>
          </w:p>
        </w:tc>
      </w:tr>
      <w:tr>
        <w:trPr>
          <w:trHeight w:val="216"/>
        </w:trPr>
        <w:tc>
          <w:tcPr>
            <w:tcW w:w="2160" w:type="dxa"/>
            <w:vAlign w:val="bottom"/>
          </w:tcPr>
          <w:p>
            <w:pPr>
              <w:spacing w:after="0"/>
              <w:rPr>
                <w:sz w:val="18"/>
                <w:szCs w:val="18"/>
                <w:color w:val="auto"/>
              </w:rPr>
            </w:pPr>
          </w:p>
        </w:tc>
        <w:tc>
          <w:tcPr>
            <w:tcW w:w="554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Braintree, MA 02184</w:t>
            </w:r>
          </w:p>
        </w:tc>
        <w:tc>
          <w:tcPr>
            <w:tcW w:w="1660" w:type="dxa"/>
            <w:vAlign w:val="bottom"/>
          </w:tcPr>
          <w:p>
            <w:pPr>
              <w:spacing w:after="0"/>
              <w:rPr>
                <w:sz w:val="18"/>
                <w:szCs w:val="18"/>
                <w:color w:val="auto"/>
              </w:rPr>
            </w:pPr>
          </w:p>
        </w:tc>
      </w:tr>
      <w:tr>
        <w:trPr>
          <w:trHeight w:val="238"/>
        </w:trPr>
        <w:tc>
          <w:tcPr>
            <w:tcW w:w="2160" w:type="dxa"/>
            <w:vAlign w:val="bottom"/>
          </w:tcPr>
          <w:p>
            <w:pPr>
              <w:spacing w:after="0"/>
              <w:rPr>
                <w:sz w:val="20"/>
                <w:szCs w:val="20"/>
                <w:color w:val="auto"/>
              </w:rPr>
            </w:pPr>
          </w:p>
        </w:tc>
        <w:tc>
          <w:tcPr>
            <w:tcW w:w="554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(Address of Principal Executive Offices) (Zip Code)</w:t>
            </w:r>
          </w:p>
        </w:tc>
        <w:tc>
          <w:tcPr>
            <w:tcW w:w="1660" w:type="dxa"/>
            <w:vAlign w:val="bottom"/>
          </w:tcPr>
          <w:p>
            <w:pPr>
              <w:spacing w:after="0"/>
              <w:rPr>
                <w:sz w:val="20"/>
                <w:szCs w:val="20"/>
                <w:color w:val="auto"/>
              </w:rPr>
            </w:pPr>
          </w:p>
        </w:tc>
      </w:tr>
      <w:tr>
        <w:trPr>
          <w:trHeight w:val="432"/>
        </w:trPr>
        <w:tc>
          <w:tcPr>
            <w:tcW w:w="2160" w:type="dxa"/>
            <w:vAlign w:val="bottom"/>
          </w:tcPr>
          <w:p>
            <w:pPr>
              <w:spacing w:after="0"/>
              <w:rPr>
                <w:sz w:val="24"/>
                <w:szCs w:val="24"/>
                <w:color w:val="auto"/>
              </w:rPr>
            </w:pPr>
          </w:p>
        </w:tc>
        <w:tc>
          <w:tcPr>
            <w:tcW w:w="554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Registrant’s telephone number, including area code: (781) 875-3605</w:t>
            </w:r>
          </w:p>
        </w:tc>
        <w:tc>
          <w:tcPr>
            <w:tcW w:w="1660" w:type="dxa"/>
            <w:vAlign w:val="bottom"/>
          </w:tcPr>
          <w:p>
            <w:pPr>
              <w:spacing w:after="0"/>
              <w:rPr>
                <w:sz w:val="24"/>
                <w:szCs w:val="24"/>
                <w:color w:val="auto"/>
              </w:rPr>
            </w:pPr>
          </w:p>
        </w:tc>
      </w:tr>
    </w:tbl>
    <w:p>
      <w:pPr>
        <w:spacing w:after="0" w:line="200" w:lineRule="exact"/>
        <w:rPr>
          <w:sz w:val="24"/>
          <w:szCs w:val="24"/>
          <w:color w:val="auto"/>
        </w:rPr>
      </w:pPr>
    </w:p>
    <w:p>
      <w:pPr>
        <w:spacing w:after="0" w:line="21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(Former Name or Former Address, if Changed Since Last Report)</w:t>
      </w:r>
    </w:p>
    <w:p>
      <w:pPr>
        <w:spacing w:after="0" w:line="229"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860" w:firstLine="8"/>
        <w:spacing w:after="0" w:line="498" w:lineRule="auto"/>
        <w:tabs>
          <w:tab w:leader="none" w:pos="3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45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22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Trading Symbol(s)</w:t>
            </w:r>
          </w:p>
        </w:tc>
        <w:tc>
          <w:tcPr>
            <w:tcW w:w="44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28"/>
        </w:trPr>
        <w:tc>
          <w:tcPr>
            <w:tcW w:w="42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Common Stock, $0.01 par value</w:t>
            </w:r>
          </w:p>
        </w:tc>
        <w:tc>
          <w:tcPr>
            <w:tcW w:w="240" w:type="dxa"/>
            <w:vAlign w:val="bottom"/>
          </w:tcPr>
          <w:p>
            <w:pPr>
              <w:spacing w:after="0"/>
              <w:rPr>
                <w:sz w:val="19"/>
                <w:szCs w:val="19"/>
                <w:color w:val="auto"/>
              </w:rPr>
            </w:pPr>
          </w:p>
        </w:tc>
        <w:tc>
          <w:tcPr>
            <w:tcW w:w="20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MBOT</w:t>
            </w:r>
          </w:p>
        </w:tc>
        <w:tc>
          <w:tcPr>
            <w:tcW w:w="220" w:type="dxa"/>
            <w:vAlign w:val="bottom"/>
          </w:tcPr>
          <w:p>
            <w:pPr>
              <w:spacing w:after="0"/>
              <w:rPr>
                <w:sz w:val="19"/>
                <w:szCs w:val="19"/>
                <w:color w:val="auto"/>
              </w:rPr>
            </w:pPr>
          </w:p>
        </w:tc>
        <w:tc>
          <w:tcPr>
            <w:tcW w:w="44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NASDAQ Capital Market</w:t>
            </w:r>
          </w:p>
        </w:tc>
      </w:tr>
    </w:tbl>
    <w:p>
      <w:pPr>
        <w:spacing w:after="0" w:line="179" w:lineRule="exact"/>
        <w:rPr>
          <w:sz w:val="24"/>
          <w:szCs w:val="24"/>
          <w:color w:val="auto"/>
        </w:rPr>
      </w:pPr>
    </w:p>
    <w:p>
      <w:pPr>
        <w:jc w:val="both"/>
        <w:ind w:right="20"/>
        <w:spacing w:after="0" w:line="258"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(17 CFR §230.405) or Rule 12b-2 of the Securities Exchange Act of 1934 (17 CFR §240.12b-2).</w:t>
      </w: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12"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431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471170</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40"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7.01 Regulation FD Disclosure.</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On February 4, 2025, Microbot Medical Inc. (the “Company”) issued a press release announcing the acceptance of a late-breaking abstract that will be presented at the upcoming Society of Interventional Radiology (SIR) annual meeting, being held in Nashville, TN on March 29 - April 2, 2025. The</w:t>
      </w:r>
    </w:p>
    <w:p>
      <w:pPr>
        <w:jc w:val="both"/>
        <w:spacing w:after="0" w:line="209" w:lineRule="auto"/>
        <w:rPr>
          <w:sz w:val="20"/>
          <w:szCs w:val="20"/>
          <w:color w:val="auto"/>
        </w:rPr>
      </w:pPr>
      <w:r>
        <w:rPr>
          <w:rFonts w:ascii="Times New Roman" w:cs="Times New Roman" w:eastAsia="Times New Roman" w:hAnsi="Times New Roman"/>
          <w:sz w:val="18"/>
          <w:szCs w:val="18"/>
          <w:color w:val="auto"/>
        </w:rPr>
        <w:t>data from the Company’s ACCESS-PVI trial, a prospective , multicenter, single-arm trial evaluating the performance and safety of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in patients undergoing peripheral vascular interventions, will be presented for the first time at a podium presentation.</w:t>
      </w:r>
    </w:p>
    <w:p>
      <w:pPr>
        <w:spacing w:after="0" w:line="20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press release, which is furnished as Exhibit 99.1 to this Current Report on Form 8-K, is incorporated herein by reference. The information in this Item 7.01 and Exhibit 99.1 is being furnished and shall not be deemed to be “filed” for the purposes of Section 18 of the Securities Exchange Act of 1934, as amended, or otherwise subject to the liabilities of that section. This report will not be deemed an admission as to the materiality of any information in this Item 7.01 or Exhibit 99.1.</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1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(d) Exhibits</w:t>
            </w:r>
          </w:p>
        </w:tc>
        <w:tc>
          <w:tcPr>
            <w:tcW w:w="980" w:type="dxa"/>
            <w:vAlign w:val="bottom"/>
          </w:tcPr>
          <w:p>
            <w:pPr>
              <w:spacing w:after="0"/>
              <w:rPr>
                <w:sz w:val="20"/>
                <w:szCs w:val="20"/>
                <w:color w:val="auto"/>
              </w:rPr>
            </w:pPr>
          </w:p>
        </w:tc>
        <w:tc>
          <w:tcPr>
            <w:tcW w:w="9160" w:type="dxa"/>
            <w:vAlign w:val="bottom"/>
          </w:tcPr>
          <w:p>
            <w:pPr>
              <w:spacing w:after="0"/>
              <w:rPr>
                <w:sz w:val="20"/>
                <w:szCs w:val="20"/>
                <w:color w:val="auto"/>
              </w:rPr>
            </w:pPr>
          </w:p>
        </w:tc>
      </w:tr>
      <w:tr>
        <w:trPr>
          <w:trHeight w:val="410"/>
        </w:trPr>
        <w:tc>
          <w:tcPr>
            <w:tcW w:w="11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980" w:type="dxa"/>
            <w:vAlign w:val="bottom"/>
          </w:tcPr>
          <w:p>
            <w:pPr>
              <w:spacing w:after="0"/>
              <w:rPr>
                <w:sz w:val="24"/>
                <w:szCs w:val="24"/>
                <w:color w:val="auto"/>
              </w:rPr>
            </w:pPr>
          </w:p>
        </w:tc>
        <w:tc>
          <w:tcPr>
            <w:tcW w:w="9160" w:type="dxa"/>
            <w:vAlign w:val="bottom"/>
          </w:tcPr>
          <w:p>
            <w:pPr>
              <w:spacing w:after="0"/>
              <w:rPr>
                <w:sz w:val="24"/>
                <w:szCs w:val="24"/>
                <w:color w:val="auto"/>
              </w:rPr>
            </w:pPr>
          </w:p>
        </w:tc>
      </w:tr>
      <w:tr>
        <w:trPr>
          <w:trHeight w:val="238"/>
        </w:trPr>
        <w:tc>
          <w:tcPr>
            <w:tcW w:w="11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101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385"/>
        </w:trPr>
        <w:tc>
          <w:tcPr>
            <w:tcW w:w="9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99.1</w:t>
            </w:r>
          </w:p>
        </w:tc>
        <w:tc>
          <w:tcPr>
            <w:tcW w:w="120" w:type="dxa"/>
            <w:vAlign w:val="bottom"/>
          </w:tcPr>
          <w:p>
            <w:pPr>
              <w:spacing w:after="0"/>
              <w:rPr>
                <w:sz w:val="24"/>
                <w:szCs w:val="24"/>
                <w:color w:val="auto"/>
              </w:rPr>
            </w:pPr>
          </w:p>
        </w:tc>
        <w:tc>
          <w:tcPr>
            <w:tcW w:w="1014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0000EE"/>
              </w:rPr>
              <w:t>Press Release</w:t>
            </w:r>
          </w:p>
        </w:tc>
      </w:tr>
      <w:tr>
        <w:trPr>
          <w:trHeight w:val="20"/>
        </w:trPr>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9160" w:type="dxa"/>
            <w:vAlign w:val="bottom"/>
          </w:tcPr>
          <w:p>
            <w:pPr>
              <w:spacing w:after="0" w:line="20" w:lineRule="exact"/>
              <w:rPr>
                <w:sz w:val="1"/>
                <w:szCs w:val="1"/>
                <w:color w:val="auto"/>
              </w:rPr>
            </w:pPr>
          </w:p>
        </w:tc>
      </w:tr>
      <w:tr>
        <w:trPr>
          <w:trHeight w:val="237"/>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120" w:type="dxa"/>
            <w:vAlign w:val="bottom"/>
          </w:tcPr>
          <w:p>
            <w:pPr>
              <w:spacing w:after="0"/>
              <w:rPr>
                <w:sz w:val="20"/>
                <w:szCs w:val="20"/>
                <w:color w:val="auto"/>
              </w:rPr>
            </w:pPr>
          </w:p>
        </w:tc>
        <w:tc>
          <w:tcPr>
            <w:tcW w:w="10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r>
        <w:trPr>
          <w:trHeight w:val="432"/>
        </w:trPr>
        <w:tc>
          <w:tcPr>
            <w:tcW w:w="9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91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84" w:right="33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MICROBOT MEDICAL INC.</w:t>
      </w:r>
    </w:p>
    <w:p>
      <w:pPr>
        <w:spacing w:after="0" w:line="227"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/s/ Harel Gadot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18415</wp:posOffset>
            </wp:positionV>
            <wp:extent cx="320611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Harel Gadot</w:t>
      </w:r>
    </w:p>
    <w:p>
      <w:pPr>
        <w:spacing w:after="0" w:line="23"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Executive Officer, President and Chairman</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February 4,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2611120</wp:posOffset>
            </wp:positionH>
            <wp:positionV relativeFrom="paragraph">
              <wp:posOffset>156845</wp:posOffset>
            </wp:positionV>
            <wp:extent cx="1928495" cy="7454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928495" cy="7454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Microbot Medical</w:t>
      </w:r>
      <w:r>
        <w:rPr>
          <w:rFonts w:ascii="Times New Roman" w:cs="Times New Roman" w:eastAsia="Times New Roman" w:hAnsi="Times New Roman"/>
          <w:sz w:val="29"/>
          <w:szCs w:val="29"/>
          <w:b w:val="1"/>
          <w:bCs w:val="1"/>
          <w:color w:val="auto"/>
          <w:vertAlign w:val="superscript"/>
        </w:rPr>
        <w:t>®</w:t>
      </w:r>
      <w:r>
        <w:rPr>
          <w:rFonts w:ascii="Times New Roman" w:cs="Times New Roman" w:eastAsia="Times New Roman" w:hAnsi="Times New Roman"/>
          <w:sz w:val="18"/>
          <w:szCs w:val="18"/>
          <w:b w:val="1"/>
          <w:bCs w:val="1"/>
          <w:color w:val="auto"/>
        </w:rPr>
        <w:t xml:space="preserve"> Announces Late-Breaking Abstract</w:t>
      </w:r>
    </w:p>
    <w:p>
      <w:pPr>
        <w:jc w:val="center"/>
        <w:spacing w:after="0"/>
        <w:rPr>
          <w:sz w:val="20"/>
          <w:szCs w:val="20"/>
          <w:color w:val="auto"/>
        </w:rPr>
      </w:pPr>
      <w:r>
        <w:rPr>
          <w:rFonts w:ascii="Times New Roman" w:cs="Times New Roman" w:eastAsia="Times New Roman" w:hAnsi="Times New Roman"/>
          <w:sz w:val="18"/>
          <w:szCs w:val="18"/>
          <w:b w:val="1"/>
          <w:bCs w:val="1"/>
          <w:color w:val="auto"/>
        </w:rPr>
        <w:t>Acceptance at the Society of Interventional Radiology Annual Meeting</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Acceptance reflects the high interest of the SIR scientific committee on the emerging role of endovascular robotics</w:t>
      </w:r>
    </w:p>
    <w:p>
      <w:pPr>
        <w:spacing w:after="0" w:line="231" w:lineRule="exact"/>
        <w:rPr>
          <w:sz w:val="20"/>
          <w:szCs w:val="20"/>
          <w:color w:val="auto"/>
        </w:rPr>
      </w:pPr>
    </w:p>
    <w:p>
      <w:pPr>
        <w:jc w:val="both"/>
        <w:spacing w:after="0" w:line="225" w:lineRule="auto"/>
        <w:rPr>
          <w:sz w:val="20"/>
          <w:szCs w:val="20"/>
          <w:color w:val="auto"/>
        </w:rPr>
      </w:pPr>
      <w:r>
        <w:rPr>
          <w:rFonts w:ascii="Times New Roman" w:cs="Times New Roman" w:eastAsia="Times New Roman" w:hAnsi="Times New Roman"/>
          <w:sz w:val="18"/>
          <w:szCs w:val="18"/>
          <w:b w:val="1"/>
          <w:bCs w:val="1"/>
          <w:color w:val="auto"/>
        </w:rPr>
        <w:t xml:space="preserve">BRAINTREE, Mass., February 4, 2025 </w:t>
      </w:r>
      <w:r>
        <w:rPr>
          <w:rFonts w:ascii="Times New Roman" w:cs="Times New Roman" w:eastAsia="Times New Roman" w:hAnsi="Times New Roman"/>
          <w:sz w:val="18"/>
          <w:szCs w:val="18"/>
          <w:color w:val="auto"/>
        </w:rPr>
        <w:t>— Microbot Medical Inc. (Nasdaq: MBOT), developer of the innovative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Endovascular Robotic</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System, today announced the acceptance of a late-breaking abstract that will be presented at the upcoming Society of Interventional Radiology (SIR) annual meeting, being held in Nashville, TN on March 29 - April 2, 2025. The data from the Company’s ACCESS-PVI trial, a prospective, multicenter,</w:t>
      </w:r>
    </w:p>
    <w:p>
      <w:pPr>
        <w:spacing w:after="0" w:line="2" w:lineRule="exact"/>
        <w:rPr>
          <w:sz w:val="20"/>
          <w:szCs w:val="20"/>
          <w:color w:val="auto"/>
        </w:rPr>
      </w:pPr>
    </w:p>
    <w:p>
      <w:pPr>
        <w:jc w:val="both"/>
        <w:ind w:right="20"/>
        <w:spacing w:after="0" w:line="209" w:lineRule="auto"/>
        <w:rPr>
          <w:sz w:val="20"/>
          <w:szCs w:val="20"/>
          <w:color w:val="auto"/>
        </w:rPr>
      </w:pPr>
      <w:r>
        <w:rPr>
          <w:rFonts w:ascii="Times New Roman" w:cs="Times New Roman" w:eastAsia="Times New Roman" w:hAnsi="Times New Roman"/>
          <w:sz w:val="18"/>
          <w:szCs w:val="18"/>
          <w:color w:val="auto"/>
        </w:rPr>
        <w:t>single-arm trial evaluating the performance and safety of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in patients undergoing peripheral vascular interventions, will be presented for the first time at a podium presentation.</w:t>
      </w:r>
    </w:p>
    <w:p>
      <w:pPr>
        <w:spacing w:after="0" w:line="196" w:lineRule="exact"/>
        <w:rPr>
          <w:sz w:val="20"/>
          <w:szCs w:val="20"/>
          <w:color w:val="auto"/>
        </w:rPr>
      </w:pPr>
    </w:p>
    <w:p>
      <w:pPr>
        <w:ind w:left="660" w:right="20" w:hanging="328"/>
        <w:spacing w:after="0" w:line="263"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Abstract/Presentation Title</w:t>
      </w:r>
      <w:r>
        <w:rPr>
          <w:rFonts w:ascii="Times New Roman" w:cs="Times New Roman" w:eastAsia="Times New Roman" w:hAnsi="Times New Roman"/>
          <w:sz w:val="18"/>
          <w:szCs w:val="18"/>
          <w:color w:val="auto"/>
        </w:rPr>
        <w:t>: Remote-controlled endovascular navigation with a miniature, single-use, robotic system. Results of the ACCESS-PVI trial</w:t>
      </w: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Presenter: </w:t>
      </w:r>
      <w:r>
        <w:rPr>
          <w:rFonts w:ascii="Times New Roman" w:cs="Times New Roman" w:eastAsia="Times New Roman" w:hAnsi="Times New Roman"/>
          <w:sz w:val="18"/>
          <w:szCs w:val="18"/>
          <w:color w:val="auto"/>
        </w:rPr>
        <w:t>Francois Cornelis, MD, PhD, FCIRSE, Memorial Sloan Kettering Cancer Center, Department of Radiology.</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Location</w:t>
      </w:r>
      <w:r>
        <w:rPr>
          <w:rFonts w:ascii="Times New Roman" w:cs="Times New Roman" w:eastAsia="Times New Roman" w:hAnsi="Times New Roman"/>
          <w:sz w:val="18"/>
          <w:szCs w:val="18"/>
          <w:color w:val="auto"/>
        </w:rPr>
        <w:t>: Music City Center, Nashville, TN</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Date/Time</w:t>
      </w:r>
      <w:r>
        <w:rPr>
          <w:rFonts w:ascii="Times New Roman" w:cs="Times New Roman" w:eastAsia="Times New Roman" w:hAnsi="Times New Roman"/>
          <w:sz w:val="18"/>
          <w:szCs w:val="18"/>
          <w:color w:val="auto"/>
        </w:rPr>
        <w:t>: Wednesday, April 2, 11:33 AM - 11:42 AM CT</w:t>
      </w:r>
    </w:p>
    <w:p>
      <w:pPr>
        <w:spacing w:after="0" w:line="207"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8"/>
          <w:szCs w:val="18"/>
          <w:color w:val="auto"/>
        </w:rPr>
        <w:t>“We believe the acceptance of this late breaking news is critically important and allows the Principal Investigators (PI) to present the data for the first time at the SIR annual meeting, especially since the primary attendees at this conference are potential users of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commented Harel Gadot, Chairman, CEO and President. “In addition, we believe that the potential benefits of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will be meaningful and significant to the audience.”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198755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auto"/>
        </w:rPr>
        <w:t>About Microbot Medical</w:t>
      </w:r>
      <w:r>
        <w:rPr>
          <w:rFonts w:ascii="Times New Roman" w:cs="Times New Roman" w:eastAsia="Times New Roman" w:hAnsi="Times New Roman"/>
          <w:sz w:val="29"/>
          <w:szCs w:val="29"/>
          <w:color w:val="auto"/>
          <w:vertAlign w:val="superscript"/>
        </w:rPr>
        <w:t>®</w:t>
      </w:r>
    </w:p>
    <w:p>
      <w:pPr>
        <w:spacing w:after="0" w:line="13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Microbot Medical Inc. (NASDAQ: MBOT) is a pre-commercial stage medical technology company with a vision to improve the quality of care for millions of patients and providers globally. The Company has developed the world’s first single-use, fully disposable endovascular robotic system, which aims to eliminate traditional barriers to accessing advanced robotic systems.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Further information about Microbot Medical</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is available at </w:t>
      </w:r>
      <w:r>
        <w:rPr>
          <w:rFonts w:ascii="Times New Roman" w:cs="Times New Roman" w:eastAsia="Times New Roman" w:hAnsi="Times New Roman"/>
          <w:sz w:val="18"/>
          <w:szCs w:val="18"/>
          <w:u w:val="single" w:color="auto"/>
          <w:color w:val="auto"/>
        </w:rPr>
        <w:t>http://www.microbotmedical.com</w:t>
      </w:r>
      <w:r>
        <w:rPr>
          <w:rFonts w:ascii="Times New Roman" w:cs="Times New Roman" w:eastAsia="Times New Roman" w:hAnsi="Times New Roman"/>
          <w:sz w:val="18"/>
          <w:szCs w:val="18"/>
          <w:color w:val="auto"/>
        </w:rPr>
        <w:t>.</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Safe Harbor</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Statements to future financial and/or operating results, future growth in research, technology, clinical development, commercialization and potential opportunities for Microbot Medical Inc. and its subsidiaries, along with other statements about the future expectations, beliefs, goals, plans, or prospects expressed by management, constitute forward-looking statements within the meaning of the Private Securities Litigation Reform Act of 1995 and the Federal securities laws. Any statements that are not historical fact (including, but not limited to statements that contain words such as “will,” “believes,” “plans,” “anticipates,” “expects” and “estimates”) should also be considered to be forward-looking statements. Forward-looking statements involve risks and uncertainties, including, without limitation, the Company’s need for and ability to obtain additional working capital to continue its transition to a</w:t>
      </w:r>
    </w:p>
    <w:p>
      <w:pPr>
        <w:spacing w:after="0" w:line="5" w:lineRule="exact"/>
        <w:rPr>
          <w:sz w:val="20"/>
          <w:szCs w:val="20"/>
          <w:color w:val="auto"/>
        </w:rPr>
      </w:pPr>
    </w:p>
    <w:p>
      <w:pPr>
        <w:jc w:val="both"/>
        <w:spacing w:after="0" w:line="200" w:lineRule="auto"/>
        <w:rPr>
          <w:sz w:val="20"/>
          <w:szCs w:val="20"/>
          <w:color w:val="auto"/>
        </w:rPr>
      </w:pPr>
      <w:r>
        <w:rPr>
          <w:rFonts w:ascii="Times New Roman" w:cs="Times New Roman" w:eastAsia="Times New Roman" w:hAnsi="Times New Roman"/>
          <w:sz w:val="18"/>
          <w:szCs w:val="18"/>
          <w:color w:val="auto"/>
        </w:rPr>
        <w:t>commercially focused company, market conditions, risks inherent in the development and/or commercialization of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System, uncertainty in the results of regulatory pathways and regulatory approvals, including whether the FDA will grant 510(k) clearance to commercially market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System in the United States, disruptions resulting from new and ongoing hostilities between Israel and the</w:t>
      </w:r>
    </w:p>
    <w:p>
      <w:pPr>
        <w:spacing w:after="0" w:line="2" w:lineRule="exact"/>
        <w:rPr>
          <w:sz w:val="20"/>
          <w:szCs w:val="20"/>
          <w:color w:val="auto"/>
        </w:rPr>
      </w:pPr>
    </w:p>
    <w:p>
      <w:pPr>
        <w:jc w:val="both"/>
        <w:spacing w:after="0" w:line="209" w:lineRule="auto"/>
        <w:rPr>
          <w:sz w:val="20"/>
          <w:szCs w:val="20"/>
          <w:color w:val="auto"/>
        </w:rPr>
      </w:pPr>
      <w:r>
        <w:rPr>
          <w:rFonts w:ascii="Times New Roman" w:cs="Times New Roman" w:eastAsia="Times New Roman" w:hAnsi="Times New Roman"/>
          <w:sz w:val="18"/>
          <w:szCs w:val="18"/>
          <w:color w:val="auto"/>
        </w:rPr>
        <w:t>Palestinians and other neighboring countries, and maintenance of intellectual property rights. Additional information on risks facing Microbot Medical</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can be found under the heading “Risk Factors” in Microbot Medical’s periodic reports filed with the Securities and Exchange Commission (SEC), which</w:t>
      </w:r>
    </w:p>
    <w:p>
      <w:pPr>
        <w:jc w:val="both"/>
        <w:spacing w:after="0" w:line="209" w:lineRule="auto"/>
        <w:rPr>
          <w:sz w:val="20"/>
          <w:szCs w:val="20"/>
          <w:color w:val="auto"/>
        </w:rPr>
      </w:pPr>
      <w:r>
        <w:rPr>
          <w:rFonts w:ascii="Times New Roman" w:cs="Times New Roman" w:eastAsia="Times New Roman" w:hAnsi="Times New Roman"/>
          <w:sz w:val="18"/>
          <w:szCs w:val="18"/>
          <w:color w:val="auto"/>
        </w:rPr>
        <w:t>are available on the SEC’s web site at www.sec.gov. Microbot Medical</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disclaims any intent or obligation to update these forward-looking statements, except as required by law.</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Investor Contact: </w:t>
      </w:r>
      <w:r>
        <w:rPr>
          <w:rFonts w:ascii="Times New Roman" w:cs="Times New Roman" w:eastAsia="Times New Roman" w:hAnsi="Times New Roman"/>
          <w:sz w:val="18"/>
          <w:szCs w:val="18"/>
          <w:u w:val="single" w:color="auto"/>
          <w:color w:val="auto"/>
        </w:rPr>
        <w:t>IR@microbotmedical.com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294005</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sectPr>
      <w:pgSz w:w="11900" w:h="16838" w:orient="portrait"/>
      <w:cols w:equalWidth="0" w:num="1">
        <w:col w:w="11240"/>
      </w:cols>
      <w:pgMar w:left="320" w:top="69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2025-02-04T07:34:59Z</dcterms:created>
  <dcterms:modified xsi:type="dcterms:W3CDTF">2025-02-04T07:34:59Z</dcterms:modified>
</cp:coreProperties>
</file>