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October 19,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000-19871</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288 Grove Street, Suite 388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Braintree, MA 02184</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Trading Symbol(s)</w:t>
            </w: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October 19, 2023, Microbot Medical Inc. (the “Company”) issued a press release announcing that the United States District Court for the Southern District of New York, approved the Company’s motion for summary judgment and dismissed with prejudice the previously announced Section 10(b) counterclaim brought by defendant as against the Company in the action titled Microbot Medical Inc., Plaintiff v. Joseph Mona, Defendant.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which is filed as Exhibit 99.1 to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w:t>
      </w:r>
    </w:p>
    <w:p>
      <w:pPr>
        <w:spacing w:after="0" w:line="23" w:lineRule="exact"/>
        <w:rPr>
          <w:sz w:val="20"/>
          <w:szCs w:val="20"/>
          <w:color w:val="auto"/>
        </w:rPr>
      </w:pPr>
    </w:p>
    <w:p>
      <w:pPr>
        <w:ind w:left="360"/>
        <w:spacing w:after="0"/>
        <w:tabs>
          <w:tab w:leader="none" w:pos="10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19,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154305</wp:posOffset>
            </wp:positionV>
            <wp:extent cx="1928495" cy="745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Announces Grant of Summary Judgment in its Favor and Dismissal of Counterclaim Against Company</w:t>
      </w:r>
    </w:p>
    <w:p>
      <w:pPr>
        <w:spacing w:after="0" w:line="233" w:lineRule="exact"/>
        <w:rPr>
          <w:sz w:val="20"/>
          <w:szCs w:val="20"/>
          <w:color w:val="auto"/>
        </w:rPr>
      </w:pPr>
    </w:p>
    <w:p>
      <w:pPr>
        <w:jc w:val="both"/>
        <w:spacing w:after="0" w:line="230" w:lineRule="auto"/>
        <w:rPr>
          <w:sz w:val="20"/>
          <w:szCs w:val="20"/>
          <w:color w:val="auto"/>
        </w:rPr>
      </w:pPr>
      <w:r>
        <w:rPr>
          <w:rFonts w:ascii="Arial" w:cs="Arial" w:eastAsia="Arial" w:hAnsi="Arial"/>
          <w:sz w:val="18"/>
          <w:szCs w:val="18"/>
          <w:b w:val="1"/>
          <w:bCs w:val="1"/>
          <w:color w:val="auto"/>
        </w:rPr>
        <w:t xml:space="preserve">Braintree, Mass., October 19, 2023 </w:t>
      </w:r>
      <w:r>
        <w:rPr>
          <w:rFonts w:ascii="Arial" w:cs="Arial" w:eastAsia="Arial" w:hAnsi="Arial"/>
          <w:sz w:val="18"/>
          <w:szCs w:val="18"/>
          <w:color w:val="auto"/>
        </w:rPr>
        <w:t>– Microbot Medical Inc. (Nasdaq: MBOT), developer of the innovative LIBERTY</w:t>
      </w:r>
      <w:r>
        <w:rPr>
          <w:rFonts w:ascii="Arial" w:cs="Arial" w:eastAsia="Arial" w:hAnsi="Arial"/>
          <w:sz w:val="29"/>
          <w:szCs w:val="29"/>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Robotic Surgical System,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announces that the United States District Court for the Southern District of New York, approved Microbot’s motion for summary judgment and dismissed with prejudice the previously announced Section 10(b) counterclaim brought by defendant as against Microbot in the action titled Microbot Medical Inc., Plaintiff v. Joseph Mona, Defendant.</w:t>
      </w:r>
    </w:p>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its Memorandum Decision and Order, the Court adopted in full the Magistrate Judge’s Report and Recommendation, which had recommended that the Court grant Microbot’s motion for summary judgment and dismiss defendant’s counterclaim with prejudice.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its ruling, in part, the Court held that the defendant failed to raise a triable issue of fact in support of his claim.</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Microbot previously announced that a judgment in the action against defendant and in favor of Microbot in the amount of $484,614.30 was entered, and no appeal was filed. As the counterclaim has now been dismissed, the Company is now seeking to enforce the judgment as against defendant.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Microbot Medical Inc. (NASDAQ: MBOT) is a pre-clinical medical device company that specializes in transformational micro-robotic technologies, with the goals of improving clinical outcomes for patients and increasing accessibility through the natural and artificial lumens within the human body.</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LIBERTY® Robotic Surgical System aims to improve the way surgical robotics are being used in endovascular procedures today, by eliminating the need for large, cumbersome, and expensive capital equipment, while reducing radiation exposure and physician strain. The Company believes the LIBERTY® Robotic Surgical System’s remote operation has the potential to be the first system to democratize endovascular interventional procedures.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Further information about Microbot Medical is available at </w:t>
      </w:r>
      <w:r>
        <w:rPr>
          <w:rFonts w:ascii="Arial" w:cs="Arial" w:eastAsia="Arial" w:hAnsi="Arial"/>
          <w:sz w:val="18"/>
          <w:szCs w:val="18"/>
          <w:u w:val="single" w:color="auto"/>
          <w:color w:val="auto"/>
        </w:rPr>
        <w:t>http://www.microbotmedical.com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the outcome of its studies to evaluate LIBERTY, whether the Company’s core business focus program and cost reduction plan are sufficient to enable the Company to continue to focus on its LIBERTY technology while it stabilizes its financial condition and seeks additional working capital,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disruptions resulting from new and ongoing hostilities between Israel and the Palestinians, such as employees of Microbot and its vendors and business partners being called to active military duty, any lingering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Michal Efraty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+972-(0)52-3044404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2023-10-19T07:22:44Z</dcterms:created>
  <dcterms:modified xsi:type="dcterms:W3CDTF">2023-10-19T07:22:44Z</dcterms:modified>
</cp:coreProperties>
</file>