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8,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40" w:type="dxa"/>
            <w:vAlign w:val="bottom"/>
          </w:tcPr>
          <w:p>
            <w:pPr>
              <w:jc w:val="center"/>
              <w:ind w:left="590"/>
              <w:spacing w:after="0"/>
              <w:rPr>
                <w:sz w:val="20"/>
                <w:szCs w:val="20"/>
                <w:color w:val="auto"/>
              </w:rPr>
            </w:pPr>
            <w:r>
              <w:rPr>
                <w:rFonts w:ascii="Arial" w:cs="Arial" w:eastAsia="Arial" w:hAnsi="Arial"/>
                <w:sz w:val="18"/>
                <w:szCs w:val="18"/>
                <w:b w:val="1"/>
                <w:bCs w:val="1"/>
                <w:color w:val="auto"/>
                <w:w w:val="93"/>
              </w:rPr>
              <w:t>Delaware</w:t>
            </w:r>
          </w:p>
        </w:tc>
        <w:tc>
          <w:tcPr>
            <w:tcW w:w="450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000-19871</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2940" w:type="dxa"/>
            <w:vAlign w:val="bottom"/>
            <w:tcBorders>
              <w:top w:val="single" w:sz="8" w:color="auto"/>
            </w:tcBorders>
          </w:tcPr>
          <w:p>
            <w:pPr>
              <w:jc w:val="center"/>
              <w:ind w:left="590"/>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90"/>
              <w:spacing w:after="0"/>
              <w:rPr>
                <w:sz w:val="20"/>
                <w:szCs w:val="20"/>
                <w:color w:val="auto"/>
              </w:rPr>
            </w:pPr>
            <w:r>
              <w:rPr>
                <w:rFonts w:ascii="Arial" w:cs="Arial" w:eastAsia="Arial" w:hAnsi="Arial"/>
                <w:sz w:val="18"/>
                <w:szCs w:val="18"/>
                <w:b w:val="1"/>
                <w:bCs w:val="1"/>
                <w:color w:val="auto"/>
                <w:w w:val="90"/>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4"/>
              </w:rPr>
              <w:t>File Number)</w:t>
            </w: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89"/>
              </w:rPr>
              <w:t>288 Grove Street, Suite 388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4"/>
              </w:rPr>
              <w:t>Braintree, MA 02184</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2760" w:type="dxa"/>
            <w:vAlign w:val="bottom"/>
          </w:tcPr>
          <w:p>
            <w:pPr>
              <w:spacing w:after="0"/>
              <w:rPr>
                <w:sz w:val="24"/>
                <w:szCs w:val="24"/>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1"/>
              </w:rPr>
              <w:t>(Former Name or Former Address, if Changed Since Last Report)</w:t>
            </w:r>
          </w:p>
        </w:tc>
        <w:tc>
          <w:tcPr>
            <w:tcW w:w="2760" w:type="dxa"/>
            <w:vAlign w:val="bottom"/>
          </w:tcPr>
          <w:p>
            <w:pPr>
              <w:spacing w:after="0"/>
              <w:rPr>
                <w:sz w:val="24"/>
                <w:szCs w:val="24"/>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On September 8, 2023, Microbot Medical Inc. (the “Company”) issued a press release announcing the growing global recognition of its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Surgical System, to be presented in an abstract at the Annual Congress of the Cardiovascular and Interventional Radiological Society of Europe (CIRSE) on September 9, 2023. The abstract is to be presented by Professor of Iinterventional rRadiology Vincent Vidal, M.D. PhD, from the Aix-Marseille University and a Scientific Advisory Board Member of the Company. The abstract and oral presentation is titled “Performance Evaluation of a Miniature and Disposable Endovascular Robotic Device.”</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w:t>
      </w:r>
    </w:p>
    <w:p>
      <w:pPr>
        <w:spacing w:after="0" w:line="23"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Microbot Medical Gains Global Recognition; Professor Vincent Vidal to Present an Abstract on The LIBERTY Robotic Surgical System at CIRSE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presentation follows successful extensive uses of the Company’s endovascular robotic system in pre- clinical studies</w:t>
      </w:r>
    </w:p>
    <w:p>
      <w:pPr>
        <w:spacing w:after="0" w:line="22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b w:val="1"/>
          <w:bCs w:val="1"/>
          <w:color w:val="auto"/>
        </w:rPr>
        <w:t xml:space="preserve">BRAINTREE, Mass., September 8, 2023 </w:t>
      </w:r>
      <w:r>
        <w:rPr>
          <w:rFonts w:ascii="Arial" w:cs="Arial" w:eastAsia="Arial" w:hAnsi="Arial"/>
          <w:sz w:val="18"/>
          <w:szCs w:val="18"/>
          <w:color w:val="auto"/>
        </w:rPr>
        <w:t>– Microbot Medical Inc. (Nasdaq: MBOT) is honored to announce the continuous growing global recognition</w:t>
      </w:r>
      <w:r>
        <w:rPr>
          <w:rFonts w:ascii="Arial" w:cs="Arial" w:eastAsia="Arial" w:hAnsi="Arial"/>
          <w:sz w:val="18"/>
          <w:szCs w:val="18"/>
          <w:b w:val="1"/>
          <w:bCs w:val="1"/>
          <w:color w:val="auto"/>
        </w:rPr>
        <w:t xml:space="preserve"> </w:t>
      </w:r>
      <w:r>
        <w:rPr>
          <w:rFonts w:ascii="Arial" w:cs="Arial" w:eastAsia="Arial" w:hAnsi="Arial"/>
          <w:sz w:val="18"/>
          <w:szCs w:val="18"/>
          <w:color w:val="auto"/>
        </w:rPr>
        <w:t>of its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Surgical System, to be presented in an abstract at the Annual Congress of the Cardiovascular and Interventional Radiological Society of Europe (CIRSE) on September 9, 2023. The abstract is to be presented by Professor of Interventional Radiology Vincent Vidal, M.D. PhD, from the Aix- Marseille University and a Scientific Advisory Board Member of Microbot.</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abstract and oral presentation, titled “Performance Evaluation of a Miniature and Disposable Endovascular Robotic Device” was accepted following a successful pre-clinical trial with a team of leading European interventional radiologists. The team expressed their positive experiences and satisfaction from using the Company’s Robotic Surgery System.</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believes that the accumulation of peer-reviewed data during the pre-clinical studies are invaluable opportunities to gather leading physicians’ and future users’ insight as it finalizes the necessary steps prior to its expected First in Human (FIH) clinical trial and the regulatory process with the FDA in the USA and MDR in Europe.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LIBERTY®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Robotic Surgical System’s remote operation has the potential to be the first system to democratize endovascular interventional procedures.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the outcome of its studies to evaluate LIBERTY, whether the Company’s core business focus program and cost reduction plan are sufficient to enable the Company to continue to focus on its LIBERTY technology while it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2023-09-08T09:10:08Z</dcterms:created>
  <dcterms:modified xsi:type="dcterms:W3CDTF">2023-09-08T09:10:08Z</dcterms:modified>
</cp:coreProperties>
</file>