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54"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AMENDMENT NO.1</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FORM 8-K/A</w:t>
      </w:r>
    </w:p>
    <w:p>
      <w:pPr>
        <w:spacing w:after="0" w:line="364"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CURRENT REPORT</w:t>
      </w:r>
    </w:p>
    <w:p>
      <w:pPr>
        <w:spacing w:after="0" w:line="1"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PURSUANT TO</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SECTION 13 OR 15(d) OF</w:t>
      </w:r>
    </w:p>
    <w:p>
      <w:pPr>
        <w:spacing w:after="0" w:line="1"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364" w:lineRule="exact"/>
        <w:rPr>
          <w:sz w:val="24"/>
          <w:szCs w:val="24"/>
          <w:color w:val="auto"/>
        </w:rPr>
      </w:pPr>
    </w:p>
    <w:p>
      <w:pPr>
        <w:ind w:left="563"/>
        <w:spacing w:after="0"/>
        <w:rPr>
          <w:sz w:val="20"/>
          <w:szCs w:val="20"/>
          <w:color w:val="auto"/>
        </w:rPr>
      </w:pPr>
      <w:r>
        <w:rPr>
          <w:rFonts w:ascii="Courier New" w:cs="Courier New" w:eastAsia="Courier New" w:hAnsi="Courier New"/>
          <w:sz w:val="16"/>
          <w:szCs w:val="16"/>
          <w:color w:val="auto"/>
        </w:rPr>
        <w:t>DATE OF REPORT (DATE OF EARLIEST EVENT REPORTED): January 14, 2000</w:t>
      </w:r>
    </w:p>
    <w:p>
      <w:pPr>
        <w:spacing w:after="0" w:line="364"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STEMCELLS, INC.</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(formerly CYTOTHERAPEUTICS, INC.)</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3"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2740" w:type="dxa"/>
            <w:vAlign w:val="bottom"/>
          </w:tcPr>
          <w:p>
            <w:pPr>
              <w:ind w:left="840"/>
              <w:spacing w:after="0"/>
              <w:rPr>
                <w:sz w:val="20"/>
                <w:szCs w:val="20"/>
                <w:color w:val="auto"/>
              </w:rPr>
            </w:pPr>
            <w:r>
              <w:rPr>
                <w:rFonts w:ascii="Courier New" w:cs="Courier New" w:eastAsia="Courier New" w:hAnsi="Courier New"/>
                <w:sz w:val="16"/>
                <w:szCs w:val="16"/>
                <w:color w:val="auto"/>
              </w:rPr>
              <w:t>DELAWARE</w:t>
            </w:r>
          </w:p>
        </w:tc>
        <w:tc>
          <w:tcPr>
            <w:tcW w:w="24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0-19871</w:t>
            </w:r>
          </w:p>
        </w:tc>
        <w:tc>
          <w:tcPr>
            <w:tcW w:w="2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94-3078125</w:t>
            </w:r>
          </w:p>
        </w:tc>
      </w:tr>
      <w:tr>
        <w:trPr>
          <w:trHeight w:val="364"/>
        </w:trPr>
        <w:tc>
          <w:tcPr>
            <w:tcW w:w="2740" w:type="dxa"/>
            <w:vAlign w:val="bottom"/>
          </w:tcPr>
          <w:p>
            <w:pPr>
              <w:spacing w:after="0"/>
              <w:rPr>
                <w:sz w:val="20"/>
                <w:szCs w:val="20"/>
                <w:color w:val="auto"/>
              </w:rPr>
            </w:pPr>
            <w:r>
              <w:rPr>
                <w:rFonts w:ascii="Courier New" w:cs="Courier New" w:eastAsia="Courier New" w:hAnsi="Courier New"/>
                <w:sz w:val="16"/>
                <w:szCs w:val="16"/>
                <w:color w:val="auto"/>
              </w:rPr>
              <w:t>(State or other jurisdiction</w:t>
            </w:r>
          </w:p>
        </w:tc>
        <w:tc>
          <w:tcPr>
            <w:tcW w:w="2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(Commission File Number)</w:t>
            </w:r>
          </w:p>
        </w:tc>
        <w:tc>
          <w:tcPr>
            <w:tcW w:w="2260" w:type="dxa"/>
            <w:vAlign w:val="bottom"/>
          </w:tcPr>
          <w:p>
            <w:pPr>
              <w:jc w:val="center"/>
              <w:spacing w:after="0"/>
              <w:rPr>
                <w:sz w:val="20"/>
                <w:szCs w:val="20"/>
                <w:color w:val="auto"/>
              </w:rPr>
            </w:pPr>
            <w:r>
              <w:rPr>
                <w:rFonts w:ascii="Courier New" w:cs="Courier New" w:eastAsia="Courier New" w:hAnsi="Courier New"/>
                <w:sz w:val="16"/>
                <w:szCs w:val="16"/>
                <w:color w:val="auto"/>
                <w:w w:val="98"/>
              </w:rPr>
              <w:t>(I.R.S. Employer</w:t>
            </w: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of incorporation)</w:t>
            </w:r>
          </w:p>
        </w:tc>
        <w:tc>
          <w:tcPr>
            <w:tcW w:w="246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w w:val="96"/>
              </w:rPr>
              <w:t>(Identification Number)</w:t>
            </w:r>
          </w:p>
        </w:tc>
      </w:tr>
    </w:tbl>
    <w:p>
      <w:pPr>
        <w:spacing w:after="0" w:line="364"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525 DEL REY AVENUE, SUITE C</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SUNNYVALE, CA 94085</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346"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(408) 731-8670</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2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 of 6</w:t>
      </w:r>
    </w:p>
    <w:p>
      <w:pPr>
        <w:sectPr>
          <w:pgSz w:w="11900" w:h="16838" w:orient="portrait"/>
          <w:cols w:equalWidth="0" w:num="1">
            <w:col w:w="10222"/>
          </w:cols>
          <w:pgMar w:left="237" w:top="966" w:right="1440" w:bottom="1440" w:gutter="0" w:footer="0" w:header="0"/>
        </w:sectPr>
      </w:pPr>
    </w:p>
    <w:bookmarkStart w:id="1" w:name="page2"/>
    <w:bookmarkEnd w:id="1"/>
    <w:p>
      <w:pPr>
        <w:spacing w:after="0"/>
        <w:tabs>
          <w:tab w:leader="none" w:pos="8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Pro Forma Financial Information and Exhibits.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Financial Information</w:t>
      </w:r>
    </w:p>
    <w:p>
      <w:pPr>
        <w:spacing w:after="0" w:line="368" w:lineRule="exact"/>
        <w:rPr>
          <w:sz w:val="20"/>
          <w:szCs w:val="20"/>
          <w:color w:val="auto"/>
        </w:rPr>
      </w:pPr>
    </w:p>
    <w:p>
      <w:pPr>
        <w:ind w:right="2939"/>
        <w:spacing w:after="0"/>
        <w:rPr>
          <w:sz w:val="20"/>
          <w:szCs w:val="20"/>
          <w:color w:val="auto"/>
        </w:rPr>
      </w:pPr>
      <w:r>
        <w:rPr>
          <w:rFonts w:ascii="Courier New" w:cs="Courier New" w:eastAsia="Courier New" w:hAnsi="Courier New"/>
          <w:sz w:val="16"/>
          <w:szCs w:val="16"/>
          <w:color w:val="auto"/>
        </w:rPr>
        <w:t>During the third quarter of 1999, management reached a decision to exit the Company's Encapsulated Cell Therapy (ECT) activities, dispose of the related intellectual property, facilities and equipment and relocate the Lincoln, RI corporate headquarters to Sunnyvale, CA. The Company terminated legal, professional, and consulting contractual arrangements in support of ECT research, to meet regulatory requirements in support of its research work, to support contractual arrangements with clinical sites, to provide assistance at clinical sites in administering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At the same time, the Company accrued various estimated expenses associated with the exit and wind-down of the ECT activities, disposal of the related property and relocation of the corporate headquarters. Additional accruals were provided in December 1999 for expenses relating to settlement of a 1989 funding arrangement with the Rhode Island Partnership for Science and Technology, further adjustment to asset carrying values and estimated carrying costs associated with the Rhode Island facilities through the expected disposition date of June 30, 2000. In addition, during December 1999, the Company liquidated certain ECT equipment and sold its ECT intellectual property to Neurotech, S.A. for $3,000,000. The tabular unaudited pro forma consolidated statement of operations presents the effects of the sale, wind-down and relocation, as if they had occurred at January 1, 1999.</w:t>
      </w:r>
    </w:p>
    <w:p>
      <w:pPr>
        <w:spacing w:after="0" w:line="381" w:lineRule="exact"/>
        <w:rPr>
          <w:sz w:val="20"/>
          <w:szCs w:val="20"/>
          <w:color w:val="auto"/>
        </w:rPr>
      </w:pPr>
    </w:p>
    <w:p>
      <w:pPr>
        <w:ind w:right="2939"/>
        <w:spacing w:after="0"/>
        <w:rPr>
          <w:sz w:val="20"/>
          <w:szCs w:val="20"/>
          <w:color w:val="auto"/>
        </w:rPr>
      </w:pPr>
      <w:r>
        <w:rPr>
          <w:rFonts w:ascii="Courier New" w:cs="Courier New" w:eastAsia="Courier New" w:hAnsi="Courier New"/>
          <w:sz w:val="16"/>
          <w:szCs w:val="16"/>
          <w:color w:val="auto"/>
        </w:rPr>
        <w:t>The tabular unaudited pro forma consolidated balance sheet along with the accompanying notes are presented as if the sale of ECT intellectual property, wind-down of ECT activities and relocation of the corporate headquarters had occurred at December 31, 1999. The pro forma effects and adjustments were determined based on available information and certain allocations that management believes are reasonable. The pro forma financial information does not purport to represent what the Company's operating results would have been had the sale occurred at January 1, 1999 and may not be indicative of the Company's financial position or operating results for any future date or period.</w:t>
      </w:r>
    </w:p>
    <w:p>
      <w:pPr>
        <w:spacing w:after="0" w:line="200" w:lineRule="exact"/>
        <w:rPr>
          <w:sz w:val="20"/>
          <w:szCs w:val="20"/>
          <w:color w:val="auto"/>
        </w:rPr>
      </w:pPr>
    </w:p>
    <w:p>
      <w:pPr>
        <w:spacing w:after="0" w:line="34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2 of 6</w:t>
      </w:r>
    </w:p>
    <w:p>
      <w:pPr>
        <w:sectPr>
          <w:pgSz w:w="11900" w:h="16838" w:orient="portrait"/>
          <w:cols w:equalWidth="0" w:num="1">
            <w:col w:w="10219"/>
          </w:cols>
          <w:pgMar w:left="240" w:top="8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CYTOTHERAPEUTICS,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CONSOLIDATED STATEMENT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Historical</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Consolidated</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12/31/1999</w:t>
            </w:r>
          </w:p>
        </w:tc>
        <w:tc>
          <w:tcPr>
            <w:tcW w:w="18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Adjustments(A)</w:t>
            </w:r>
          </w:p>
        </w:tc>
        <w:tc>
          <w:tcPr>
            <w:tcW w:w="1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12/31/1999</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Revenue from collaborative agreements.........................</w:t>
            </w: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5,021,707</w:t>
            </w:r>
          </w:p>
        </w:tc>
        <w:tc>
          <w:tcPr>
            <w:tcW w:w="18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(5,021,707)(1)</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Research and development.....................................</w:t>
            </w: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9,984,027</w:t>
            </w:r>
          </w:p>
        </w:tc>
        <w:tc>
          <w:tcPr>
            <w:tcW w:w="18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(5,332,331)(2)</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4,571,696</w:t>
            </w:r>
          </w:p>
        </w:tc>
      </w:tr>
      <w:tr>
        <w:trPr>
          <w:trHeight w:val="182"/>
        </w:trPr>
        <w:tc>
          <w:tcPr>
            <w:tcW w:w="6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(80,000)(5)</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General and administrative...................................</w:t>
            </w: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4,927,303</w:t>
            </w:r>
          </w:p>
        </w:tc>
        <w:tc>
          <w:tcPr>
            <w:tcW w:w="18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(2,309,315)(3)</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2,697,988</w:t>
            </w:r>
          </w:p>
        </w:tc>
      </w:tr>
      <w:tr>
        <w:trPr>
          <w:trHeight w:val="182"/>
        </w:trPr>
        <w:tc>
          <w:tcPr>
            <w:tcW w:w="6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80,000</w:t>
            </w:r>
          </w:p>
        </w:tc>
        <w:tc>
          <w:tcPr>
            <w:tcW w:w="4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0"/>
              </w:rPr>
              <w:t>(5)</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Encapsulated cell therapy wind-down and corporate relocation.</w:t>
            </w: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6,047,806</w:t>
            </w:r>
          </w:p>
        </w:tc>
        <w:tc>
          <w:tcPr>
            <w:tcW w:w="18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(6,047,806)(4)</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20,959,136</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(13,689,452)</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7,269,684</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Loss from operations..........................................</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(15,937,429)</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8,667,745</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(7,269,684)</w:t>
            </w: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Interest income..............................................</w:t>
            </w: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564,006</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564,006</w:t>
            </w: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Interest expense.............................................</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(335,203)</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(335,203)</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228,803</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228,803</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Net loss......................................................</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$(15,708,626)</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8,667,745</w:t>
            </w:r>
          </w:p>
        </w:tc>
        <w:tc>
          <w:tcPr>
            <w:tcW w:w="46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$(7,040,881)</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Basic and diluted net loss per share..........................</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$(0.84)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$(0.46)</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$(0.38)</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Shares used in computing basic and diluted net loss per share.</w:t>
            </w: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18,705,838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18,705,838</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18,705,838</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3 of 6</w:t>
      </w:r>
    </w:p>
    <w:p>
      <w:pPr>
        <w:sectPr>
          <w:pgSz w:w="11900" w:h="16838" w:orient="portrait"/>
          <w:cols w:equalWidth="0" w:num="1">
            <w:col w:w="10960"/>
          </w:cols>
          <w:pgMar w:left="240" w:top="841" w:right="69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CYTOTHERAPEUTICS,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CONSOLIDATED BALANCE SHEET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Historical</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December 31, 1999</w:t>
            </w:r>
          </w:p>
        </w:tc>
        <w:tc>
          <w:tcPr>
            <w:tcW w:w="19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Adjustments(A)</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1999</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4,760,064</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4,760,064</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Marketable securities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Accrued interest receivable</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42,212</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42,212</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Technology sale receivable</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3,000,000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3,000,000</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Debt service fund</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609,905</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609,905</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558,674</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558,674</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8,970,855</w:t>
            </w:r>
          </w:p>
        </w:tc>
        <w:tc>
          <w:tcPr>
            <w:tcW w:w="380" w:type="dxa"/>
            <w:vAlign w:val="bottom"/>
          </w:tcPr>
          <w:p>
            <w:pPr>
              <w:spacing w:after="0"/>
              <w:rPr>
                <w:sz w:val="15"/>
                <w:szCs w:val="15"/>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8,970,855</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Property held for sale</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3,203,491(5)</w:t>
            </w:r>
          </w:p>
        </w:tc>
        <w:tc>
          <w:tcPr>
            <w:tcW w:w="380" w:type="dxa"/>
            <w:vAlign w:val="bottom"/>
          </w:tcPr>
          <w:p>
            <w:pPr>
              <w:spacing w:after="0"/>
              <w:rPr>
                <w:sz w:val="24"/>
                <w:szCs w:val="24"/>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3,203,491</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66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5,251,376</w:t>
            </w:r>
          </w:p>
        </w:tc>
        <w:tc>
          <w:tcPr>
            <w:tcW w:w="380" w:type="dxa"/>
            <w:vAlign w:val="bottom"/>
          </w:tcPr>
          <w:p>
            <w:pPr>
              <w:spacing w:after="0"/>
              <w:rPr>
                <w:sz w:val="24"/>
                <w:szCs w:val="24"/>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(3,503,491)(5)</w:t>
            </w:r>
          </w:p>
        </w:tc>
        <w:tc>
          <w:tcPr>
            <w:tcW w:w="380" w:type="dxa"/>
            <w:vAlign w:val="bottom"/>
          </w:tcPr>
          <w:p>
            <w:pPr>
              <w:spacing w:after="0"/>
              <w:rPr>
                <w:sz w:val="24"/>
                <w:szCs w:val="24"/>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1,747,885</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Other assets, net</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1,858,768</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1,858,768</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16,080,999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15,780,999</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Accounts payable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631,315</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631,315</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Accrued expenses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2,905,068</w:t>
            </w:r>
          </w:p>
        </w:tc>
        <w:tc>
          <w:tcPr>
            <w:tcW w:w="380" w:type="dxa"/>
            <w:vAlign w:val="bottom"/>
          </w:tcPr>
          <w:p>
            <w:pPr>
              <w:spacing w:after="0"/>
              <w:rPr>
                <w:sz w:val="15"/>
                <w:szCs w:val="15"/>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(300,000)(6)</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2,605,068</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324,187</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324,167</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3,860,550</w:t>
            </w:r>
          </w:p>
        </w:tc>
        <w:tc>
          <w:tcPr>
            <w:tcW w:w="3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(300,000)</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3,560,550</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66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2,937,083</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2,937,083</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26,000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26,000</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Deferred Rent</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502,353</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502,353</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Redeemable common stock, $.01 par value;</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524,337 shares issued and outstanding</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5,248,610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5,248,610</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Convertible preferred stock, $.01 par value; 1,000,000</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80"/>
              <w:spacing w:after="0"/>
              <w:rPr>
                <w:sz w:val="20"/>
                <w:szCs w:val="20"/>
                <w:color w:val="auto"/>
              </w:rPr>
            </w:pPr>
            <w:r>
              <w:rPr>
                <w:rFonts w:ascii="Courier New" w:cs="Courier New" w:eastAsia="Courier New" w:hAnsi="Courier New"/>
                <w:sz w:val="16"/>
                <w:szCs w:val="16"/>
                <w:color w:val="auto"/>
              </w:rPr>
              <w:t>shares authorized; no shares issued and outstanding</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Common stock, $.01 par value; 45,000,000 shares</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80"/>
              <w:spacing w:after="0"/>
              <w:rPr>
                <w:sz w:val="20"/>
                <w:szCs w:val="20"/>
                <w:color w:val="auto"/>
              </w:rPr>
            </w:pPr>
            <w:r>
              <w:rPr>
                <w:rFonts w:ascii="Courier New" w:cs="Courier New" w:eastAsia="Courier New" w:hAnsi="Courier New"/>
                <w:sz w:val="16"/>
                <w:szCs w:val="16"/>
                <w:color w:val="auto"/>
              </w:rPr>
              <w:t>authorized; 18,635,565 shares issued and outstanding</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186,355</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186,355</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Additional paid-in capital</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123,917,758</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123,917,758</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66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(119,372,710)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(119,372,710)</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Deferred compensation</w:t>
            </w:r>
          </w:p>
        </w:tc>
        <w:tc>
          <w:tcPr>
            <w:tcW w:w="66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(1,225,000)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(1,225,000)</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3,506,403</w:t>
            </w:r>
          </w:p>
        </w:tc>
        <w:tc>
          <w:tcPr>
            <w:tcW w:w="380" w:type="dxa"/>
            <w:vAlign w:val="bottom"/>
          </w:tcPr>
          <w:p>
            <w:pPr>
              <w:spacing w:after="0"/>
              <w:rPr>
                <w:sz w:val="15"/>
                <w:szCs w:val="15"/>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3,506,403</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16,080,999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15,780,999</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4 of 6</w:t>
      </w:r>
    </w:p>
    <w:p>
      <w:pPr>
        <w:sectPr>
          <w:pgSz w:w="11900" w:h="16838" w:orient="portrait"/>
          <w:cols w:equalWidth="0" w:num="1">
            <w:col w:w="11520"/>
          </w:cols>
          <w:pgMar w:left="240" w:top="659" w:right="139" w:bottom="1440" w:gutter="0" w:footer="0" w:header="0"/>
        </w:sectPr>
      </w:pPr>
    </w:p>
    <w:bookmarkStart w:id="4" w:name="page5"/>
    <w:bookmarkEnd w:id="4"/>
    <w:p>
      <w:pPr>
        <w:ind w:left="3"/>
        <w:spacing w:after="0"/>
        <w:rPr>
          <w:sz w:val="20"/>
          <w:szCs w:val="20"/>
          <w:color w:val="auto"/>
        </w:rPr>
      </w:pPr>
      <w:r>
        <w:rPr>
          <w:rFonts w:ascii="Courier New" w:cs="Courier New" w:eastAsia="Courier New" w:hAnsi="Courier New"/>
          <w:sz w:val="16"/>
          <w:szCs w:val="16"/>
          <w:color w:val="auto"/>
        </w:rPr>
        <w:t>NOTES TO PRO FORMA CONSOLIDATED STATEMENT OF OPERATIONS AND BALANCE SHEET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A-Pro Forma Adjustments</w:t>
      </w:r>
    </w:p>
    <w:p>
      <w:pPr>
        <w:spacing w:after="0" w:line="368" w:lineRule="exact"/>
        <w:rPr>
          <w:sz w:val="20"/>
          <w:szCs w:val="20"/>
          <w:color w:val="auto"/>
        </w:rPr>
      </w:pPr>
    </w:p>
    <w:p>
      <w:pPr>
        <w:ind w:left="383" w:right="4179"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Encapsulated Cell Therapy collaborative revenue arrangements.</w:t>
      </w:r>
    </w:p>
    <w:p>
      <w:pPr>
        <w:spacing w:after="0" w:line="369" w:lineRule="exact"/>
        <w:rPr>
          <w:rFonts w:ascii="Courier New" w:cs="Courier New" w:eastAsia="Courier New" w:hAnsi="Courier New"/>
          <w:sz w:val="16"/>
          <w:szCs w:val="16"/>
          <w:color w:val="auto"/>
        </w:rPr>
      </w:pPr>
    </w:p>
    <w:p>
      <w:pPr>
        <w:ind w:left="383" w:right="3039" w:hanging="383"/>
        <w:spacing w:after="0" w:line="239"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research and development expenses, including employee compensation ($1,566,479), external professional services ($875,818), facilities and other supplies ($2,890,035) and various other expenses directly related to encapsulated cell therapy activities. These expenses were determined based on an individual account analysis and internal employee tracking records.</w:t>
      </w:r>
    </w:p>
    <w:p>
      <w:pPr>
        <w:spacing w:after="0" w:line="372" w:lineRule="exact"/>
        <w:rPr>
          <w:rFonts w:ascii="Courier New" w:cs="Courier New" w:eastAsia="Courier New" w:hAnsi="Courier New"/>
          <w:sz w:val="16"/>
          <w:szCs w:val="16"/>
          <w:color w:val="auto"/>
        </w:rPr>
      </w:pPr>
    </w:p>
    <w:p>
      <w:pPr>
        <w:ind w:left="383" w:right="2939" w:hanging="383"/>
        <w:spacing w:after="0" w:line="239"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general and administrative expenses, including employee compensation ($761,000), legal, professional and consulting fees ($963,000) facilities costs ($306,000), amortization ($158,000) and various other expenses ($121,000), directly relating to encapsulated cell therapy. These expenses were determined based on an individual account analysis.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99" w:lineRule="exact"/>
        <w:rPr>
          <w:rFonts w:ascii="Courier New" w:cs="Courier New" w:eastAsia="Courier New" w:hAnsi="Courier New"/>
          <w:sz w:val="16"/>
          <w:szCs w:val="16"/>
          <w:color w:val="auto"/>
        </w:rPr>
      </w:pPr>
    </w:p>
    <w:p>
      <w:pPr>
        <w:ind w:left="383" w:right="2939" w:hanging="383"/>
        <w:spacing w:after="0" w:line="257" w:lineRule="auto"/>
        <w:tabs>
          <w:tab w:leader="none" w:pos="3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Encapsulated Cell Therapy wind-down and corporate relocation expenses, including Rhode Island facility carrying costs, employee severance arrangements and the related settlement of a 1989 funding arrangement with the Rhode Island Partnership for Science and Technology. These expenses related to the Company's decision to eliminate 68 employees, relocate all remaining research and development and the Company's headquarters to Sunnyvale, California as a result of a decision to exit Encapsulated Cell Technology, and were included in wind-down expenses. The wind-down expenses include employee severance costs of approximately $1,554,000, losses and reserves for the write-down of related patents and fixed assets of approximately $1,858,000, an accrual of approximately $1,172,000 of costs relating to settlement of a 1989 funding agreement with the Rhode Island Partnership for Science and Technology ("RIPSAT") associated with the Company's pilot manufacturing facility, approximately $1,264,000 relating to carrying costs, including lease payments, interest, utilities, taxes and other related expenses associated with resolving the disposition of the Rhode Island facilities and $200,000 of employee outplacement fees. The RIPSAT claim related directly to funding the Company had received from RIPSAT. When the Company reached the decision to exit its Encapsulated Cell Technology and relocate all remaining research and the Company's corporate headquarters from Rhode Island to Sunnyvale, California, RIPSAT claimed the Company had violated terms of the funding arrangement. The Company did not agree with this claim, however, management determined it was in the Company's best interest to settle the issue. As a result, the costs associated with the settlement were included in the wind-down amount.</w:t>
      </w:r>
    </w:p>
    <w:p>
      <w:pPr>
        <w:spacing w:after="0" w:line="361" w:lineRule="exact"/>
        <w:rPr>
          <w:rFonts w:ascii="Courier New" w:cs="Courier New" w:eastAsia="Courier New" w:hAnsi="Courier New"/>
          <w:sz w:val="15"/>
          <w:szCs w:val="15"/>
          <w:color w:val="auto"/>
        </w:rPr>
      </w:pPr>
    </w:p>
    <w:p>
      <w:pPr>
        <w:jc w:val="both"/>
        <w:ind w:left="383" w:right="3039" w:hanging="383"/>
        <w:spacing w:after="0" w:line="238"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allocate facilities costs to general and administrative expenses from conversion of the former research and development facility in Sunnyvale, CA to the Company's corporate headquarters.</w:t>
      </w:r>
    </w:p>
    <w:p>
      <w:pPr>
        <w:spacing w:after="0" w:line="188" w:lineRule="exact"/>
        <w:rPr>
          <w:rFonts w:ascii="Courier New" w:cs="Courier New" w:eastAsia="Courier New" w:hAnsi="Courier New"/>
          <w:sz w:val="16"/>
          <w:szCs w:val="16"/>
          <w:color w:val="auto"/>
        </w:rPr>
      </w:pPr>
    </w:p>
    <w:p>
      <w:pPr>
        <w:ind w:left="383" w:right="3039"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reclassify the net book value of the Rhode Island property, plant and equipment.</w:t>
      </w:r>
    </w:p>
    <w:p>
      <w:pPr>
        <w:spacing w:after="0" w:line="200" w:lineRule="exact"/>
        <w:rPr>
          <w:sz w:val="20"/>
          <w:szCs w:val="20"/>
          <w:color w:val="auto"/>
        </w:rPr>
      </w:pPr>
    </w:p>
    <w:p>
      <w:pPr>
        <w:spacing w:after="0" w:line="347"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Page 5 of 6</w:t>
      </w:r>
    </w:p>
    <w:p>
      <w:pPr>
        <w:sectPr>
          <w:pgSz w:w="11900" w:h="16838" w:orient="portrait"/>
          <w:cols w:equalWidth="0" w:num="1">
            <w:col w:w="10222"/>
          </w:cols>
          <w:pgMar w:left="237" w:top="841" w:right="1440" w:bottom="1440" w:gutter="0" w:footer="0" w:header="0"/>
        </w:sectPr>
      </w:pPr>
    </w:p>
    <w:bookmarkStart w:id="5" w:name="page6"/>
    <w:bookmarkEnd w:id="5"/>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3039" w:firstLine="378"/>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STEMCELLS, INC.</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By /s/ George Koshy</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Title: Controller and Acting Chief</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Financial Officer</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5, 2000</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6 of 6</w:t>
      </w:r>
    </w:p>
    <w:sectPr>
      <w:pgSz w:w="11900" w:h="16838" w:orient="portrait"/>
      <w:cols w:equalWidth="0" w:num="1">
        <w:col w:w="10219"/>
      </w:cols>
      <w:pgMar w:left="240" w:top="8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2019-12-13T21:59:57Z</dcterms:created>
  <dcterms:modified xsi:type="dcterms:W3CDTF">2019-12-13T21:59:57Z</dcterms:modified>
</cp:coreProperties>
</file>