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UNDER SECTION 13 OR 15(d)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410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2007</w:t>
            </w:r>
          </w:p>
        </w:tc>
        <w:tc>
          <w:tcPr>
            <w:tcW w:w="3480" w:type="dxa"/>
            <w:vAlign w:val="bottom"/>
          </w:tcPr>
          <w:p>
            <w:pPr>
              <w:spacing w:after="0"/>
              <w:rPr>
                <w:sz w:val="20"/>
                <w:szCs w:val="20"/>
                <w:color w:val="auto"/>
              </w:rPr>
            </w:pPr>
          </w:p>
        </w:tc>
      </w:tr>
      <w:tr>
        <w:trPr>
          <w:trHeight w:val="392"/>
        </w:trPr>
        <w:tc>
          <w:tcPr>
            <w:tcW w:w="3840" w:type="dxa"/>
            <w:vAlign w:val="bottom"/>
          </w:tcPr>
          <w:p>
            <w:pPr>
              <w:spacing w:after="0"/>
              <w:rPr>
                <w:sz w:val="24"/>
                <w:szCs w:val="24"/>
                <w:color w:val="auto"/>
              </w:rPr>
            </w:pPr>
          </w:p>
        </w:tc>
        <w:tc>
          <w:tcPr>
            <w:tcW w:w="410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Commission File Number: 0-19871</w:t>
            </w:r>
          </w:p>
        </w:tc>
        <w:tc>
          <w:tcPr>
            <w:tcW w:w="3480" w:type="dxa"/>
            <w:vAlign w:val="bottom"/>
          </w:tcPr>
          <w:p>
            <w:pPr>
              <w:spacing w:after="0"/>
              <w:rPr>
                <w:sz w:val="24"/>
                <w:szCs w:val="24"/>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723"/>
        </w:trPr>
        <w:tc>
          <w:tcPr>
            <w:tcW w:w="3840" w:type="dxa"/>
            <w:vAlign w:val="bottom"/>
          </w:tcPr>
          <w:p>
            <w:pPr>
              <w:spacing w:after="0"/>
              <w:rPr>
                <w:sz w:val="24"/>
                <w:szCs w:val="24"/>
                <w:color w:val="auto"/>
              </w:rPr>
            </w:pPr>
          </w:p>
        </w:tc>
        <w:tc>
          <w:tcPr>
            <w:tcW w:w="4100" w:type="dxa"/>
            <w:vAlign w:val="bottom"/>
            <w:gridSpan w:val="10"/>
          </w:tcPr>
          <w:p>
            <w:pPr>
              <w:jc w:val="center"/>
              <w:ind w:right="340"/>
              <w:spacing w:after="0"/>
              <w:rPr>
                <w:sz w:val="20"/>
                <w:szCs w:val="20"/>
                <w:color w:val="auto"/>
              </w:rPr>
            </w:pPr>
            <w:r>
              <w:rPr>
                <w:rFonts w:ascii="Times New Roman" w:cs="Times New Roman" w:eastAsia="Times New Roman" w:hAnsi="Times New Roman"/>
                <w:sz w:val="43"/>
                <w:szCs w:val="43"/>
                <w:b w:val="1"/>
                <w:bCs w:val="1"/>
                <w:color w:val="auto"/>
              </w:rPr>
              <w:t>STEMCELLS, INC.</w:t>
            </w:r>
          </w:p>
        </w:tc>
        <w:tc>
          <w:tcPr>
            <w:tcW w:w="3480" w:type="dxa"/>
            <w:vAlign w:val="bottom"/>
          </w:tcPr>
          <w:p>
            <w:pPr>
              <w:spacing w:after="0"/>
              <w:rPr>
                <w:sz w:val="24"/>
                <w:szCs w:val="24"/>
                <w:color w:val="auto"/>
              </w:rPr>
            </w:pPr>
          </w:p>
        </w:tc>
      </w:tr>
      <w:tr>
        <w:trPr>
          <w:trHeight w:val="228"/>
        </w:trPr>
        <w:tc>
          <w:tcPr>
            <w:tcW w:w="3840" w:type="dxa"/>
            <w:vAlign w:val="bottom"/>
          </w:tcPr>
          <w:p>
            <w:pPr>
              <w:spacing w:after="0"/>
              <w:rPr>
                <w:sz w:val="19"/>
                <w:szCs w:val="19"/>
                <w:color w:val="auto"/>
              </w:rPr>
            </w:pPr>
          </w:p>
        </w:tc>
        <w:tc>
          <w:tcPr>
            <w:tcW w:w="3760" w:type="dxa"/>
            <w:vAlign w:val="bottom"/>
            <w:tcBorders>
              <w:top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4"/>
        </w:trPr>
        <w:tc>
          <w:tcPr>
            <w:tcW w:w="7940" w:type="dxa"/>
            <w:vAlign w:val="bottom"/>
            <w:gridSpan w:val="11"/>
          </w:tcPr>
          <w:p>
            <w:pPr>
              <w:jc w:val="center"/>
              <w:ind w:right="2520"/>
              <w:spacing w:after="0"/>
              <w:rPr>
                <w:sz w:val="20"/>
                <w:szCs w:val="20"/>
                <w:color w:val="auto"/>
              </w:rPr>
            </w:pPr>
            <w:r>
              <w:rPr>
                <w:rFonts w:ascii="Times New Roman" w:cs="Times New Roman" w:eastAsia="Times New Roman" w:hAnsi="Times New Roman"/>
                <w:sz w:val="18"/>
                <w:szCs w:val="18"/>
                <w:color w:val="auto"/>
                <w:w w:val="96"/>
              </w:rPr>
              <w:t>DELAWARE</w:t>
            </w:r>
          </w:p>
        </w:tc>
        <w:tc>
          <w:tcPr>
            <w:tcW w:w="34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94-3078125</w:t>
            </w:r>
          </w:p>
        </w:tc>
      </w:tr>
      <w:tr>
        <w:trPr>
          <w:trHeight w:val="205"/>
        </w:trPr>
        <w:tc>
          <w:tcPr>
            <w:tcW w:w="5420" w:type="dxa"/>
            <w:vAlign w:val="bottom"/>
            <w:tcBorders>
              <w:top w:val="single" w:sz="8" w:color="auto"/>
            </w:tcBorders>
            <w:gridSpan w:val="4"/>
          </w:tcPr>
          <w:p>
            <w:pPr>
              <w:jc w:val="center"/>
              <w:ind w:right="40"/>
              <w:spacing w:after="0" w:line="205"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ind w:right="1850"/>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94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8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06"/>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9"/>
          </w:tcPr>
          <w:p>
            <w:pPr>
              <w:jc w:val="center"/>
              <w:ind w:right="1320"/>
              <w:spacing w:after="0"/>
              <w:rPr>
                <w:sz w:val="20"/>
                <w:szCs w:val="20"/>
                <w:color w:val="auto"/>
              </w:rPr>
            </w:pPr>
            <w:r>
              <w:rPr>
                <w:rFonts w:ascii="Times New Roman" w:cs="Times New Roman" w:eastAsia="Times New Roman" w:hAnsi="Times New Roman"/>
                <w:sz w:val="18"/>
                <w:szCs w:val="18"/>
                <w:color w:val="auto"/>
                <w:w w:val="99"/>
              </w:rPr>
              <w:t>3155 PORTER DRIVE</w:t>
            </w:r>
          </w:p>
        </w:tc>
        <w:tc>
          <w:tcPr>
            <w:tcW w:w="3480" w:type="dxa"/>
            <w:vAlign w:val="bottom"/>
          </w:tcPr>
          <w:p>
            <w:pPr>
              <w:spacing w:after="0"/>
              <w:rPr>
                <w:sz w:val="24"/>
                <w:szCs w:val="24"/>
                <w:color w:val="auto"/>
              </w:rPr>
            </w:pPr>
          </w:p>
        </w:tc>
      </w:tr>
      <w:tr>
        <w:trPr>
          <w:trHeight w:val="194"/>
        </w:trPr>
        <w:tc>
          <w:tcPr>
            <w:tcW w:w="3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tcBorders>
              <w:bottom w:val="single" w:sz="8" w:color="auto"/>
            </w:tcBorders>
            <w:gridSpan w:val="6"/>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PALO ALTO, CA 94304</w:t>
            </w:r>
          </w:p>
        </w:tc>
        <w:tc>
          <w:tcPr>
            <w:tcW w:w="1320" w:type="dxa"/>
            <w:vAlign w:val="bottom"/>
            <w:gridSpan w:val="3"/>
          </w:tcPr>
          <w:p>
            <w:pPr>
              <w:spacing w:after="0"/>
              <w:rPr>
                <w:sz w:val="16"/>
                <w:szCs w:val="16"/>
                <w:color w:val="auto"/>
              </w:rPr>
            </w:pPr>
          </w:p>
        </w:tc>
        <w:tc>
          <w:tcPr>
            <w:tcW w:w="3480" w:type="dxa"/>
            <w:vAlign w:val="bottom"/>
          </w:tcPr>
          <w:p>
            <w:pPr>
              <w:spacing w:after="0"/>
              <w:rPr>
                <w:sz w:val="16"/>
                <w:szCs w:val="16"/>
                <w:color w:val="auto"/>
              </w:rPr>
            </w:pPr>
          </w:p>
        </w:tc>
      </w:tr>
      <w:tr>
        <w:trPr>
          <w:trHeight w:val="237"/>
        </w:trPr>
        <w:tc>
          <w:tcPr>
            <w:tcW w:w="7940" w:type="dxa"/>
            <w:vAlign w:val="bottom"/>
            <w:gridSpan w:val="11"/>
          </w:tcPr>
          <w:p>
            <w:pPr>
              <w:jc w:val="center"/>
              <w:ind w:left="339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3480" w:type="dxa"/>
            <w:vAlign w:val="bottom"/>
          </w:tcPr>
          <w:p>
            <w:pPr>
              <w:spacing w:after="0"/>
              <w:rPr>
                <w:sz w:val="20"/>
                <w:szCs w:val="20"/>
                <w:color w:val="auto"/>
              </w:rPr>
            </w:pPr>
          </w:p>
        </w:tc>
      </w:tr>
      <w:tr>
        <w:trPr>
          <w:trHeight w:val="284"/>
        </w:trPr>
        <w:tc>
          <w:tcPr>
            <w:tcW w:w="6280" w:type="dxa"/>
            <w:vAlign w:val="bottom"/>
            <w:gridSpan w:val="6"/>
          </w:tcPr>
          <w:p>
            <w:pPr>
              <w:jc w:val="center"/>
              <w:ind w:left="5070"/>
              <w:spacing w:after="0"/>
              <w:rPr>
                <w:sz w:val="20"/>
                <w:szCs w:val="20"/>
                <w:color w:val="auto"/>
              </w:rPr>
            </w:pPr>
            <w:r>
              <w:rPr>
                <w:rFonts w:ascii="Times New Roman" w:cs="Times New Roman" w:eastAsia="Times New Roman" w:hAnsi="Times New Roman"/>
                <w:sz w:val="18"/>
                <w:szCs w:val="18"/>
                <w:color w:val="auto"/>
                <w:w w:val="99"/>
              </w:rPr>
              <w:t>(650) 475-3100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
        </w:trPr>
        <w:tc>
          <w:tcPr>
            <w:tcW w:w="5220" w:type="dxa"/>
            <w:vAlign w:val="bottom"/>
            <w:gridSpan w:val="3"/>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7940" w:type="dxa"/>
            <w:vAlign w:val="bottom"/>
            <w:gridSpan w:val="11"/>
          </w:tcPr>
          <w:p>
            <w:pPr>
              <w:jc w:val="center"/>
              <w:ind w:left="33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80" w:type="dxa"/>
            <w:vAlign w:val="bottom"/>
          </w:tcPr>
          <w:p>
            <w:pPr>
              <w:spacing w:after="0"/>
              <w:rPr>
                <w:sz w:val="20"/>
                <w:szCs w:val="20"/>
                <w:color w:val="auto"/>
              </w:rPr>
            </w:pPr>
          </w:p>
        </w:tc>
      </w:tr>
    </w:tbl>
    <w:p>
      <w:pPr>
        <w:spacing w:after="0" w:line="90"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 w:lineRule="exact"/>
        <w:rPr>
          <w:sz w:val="20"/>
          <w:szCs w:val="20"/>
          <w:color w:val="auto"/>
        </w:rPr>
      </w:pPr>
    </w:p>
    <w:p>
      <w:pPr>
        <w:ind w:left="3120"/>
        <w:spacing w:after="0" w:line="207" w:lineRule="exact"/>
        <w:tabs>
          <w:tab w:leader="none" w:pos="5040" w:val="left"/>
          <w:tab w:leader="none" w:pos="6620" w:val="left"/>
        </w:tabs>
        <w:rPr>
          <w:sz w:val="20"/>
          <w:szCs w:val="20"/>
          <w:color w:val="auto"/>
        </w:rPr>
      </w:pPr>
      <w:r>
        <w:rPr>
          <w:rFonts w:ascii="Times New Roman" w:cs="Times New Roman" w:eastAsia="Times New Roman" w:hAnsi="Times New Roman"/>
          <w:sz w:val="18"/>
          <w:szCs w:val="18"/>
          <w:color w:val="auto"/>
        </w:rPr>
        <w:t>Large accelerated filer o</w:t>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Non-accelerated filer o</w:t>
      </w:r>
    </w:p>
    <w:p>
      <w:pPr>
        <w:spacing w:after="0" w:line="12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01, 2007, there were 80,044,569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2"/>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PART I. FINANCIAL INFORMATION</w:t>
              </w:r>
            </w:hyperlink>
          </w:p>
        </w:tc>
        <w:tc>
          <w:tcPr>
            <w:tcW w:w="7700" w:type="dxa"/>
            <w:vAlign w:val="bottom"/>
            <w:gridSpan w:val="10"/>
            <w:vMerge w:val="restart"/>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7700" w:type="dxa"/>
            <w:vAlign w:val="bottom"/>
            <w:gridSpan w:val="10"/>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0" w:type="dxa"/>
            <w:vAlign w:val="bottom"/>
            <w:gridSpan w:val="2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 (Unaudited)</w:t>
              </w:r>
            </w:hyperlink>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at March 31, 2007 and December 31, 2006</w:t>
              </w:r>
            </w:hyperlink>
          </w:p>
        </w:tc>
        <w:tc>
          <w:tcPr>
            <w:tcW w:w="4320" w:type="dxa"/>
            <w:vAlign w:val="bottom"/>
            <w:gridSpan w:val="4"/>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80" w:type="dxa"/>
            <w:vAlign w:val="bottom"/>
            <w:gridSpan w:val="2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 months ended March 31, 2007 and 2006</w:t>
              </w:r>
            </w:hyperlink>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three months ended March 31, 2007 and 2006</w:t>
              </w:r>
            </w:hyperlink>
          </w:p>
        </w:tc>
        <w:tc>
          <w:tcPr>
            <w:tcW w:w="2800" w:type="dxa"/>
            <w:vAlign w:val="bottom"/>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80" w:type="dxa"/>
            <w:vAlign w:val="bottom"/>
            <w:gridSpan w:val="2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70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3. Quantitative and Qualitative Disclosures About Market Risk.</w:t>
              </w:r>
            </w:hyperlink>
          </w:p>
        </w:tc>
        <w:tc>
          <w:tcPr>
            <w:tcW w:w="3580" w:type="dxa"/>
            <w:vAlign w:val="bottom"/>
            <w:gridSpan w:val="3"/>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Item 4. Controls and Procedures</w:t>
              </w:r>
            </w:hyperlink>
          </w:p>
        </w:tc>
        <w:tc>
          <w:tcPr>
            <w:tcW w:w="2620" w:type="dxa"/>
            <w:vAlign w:val="bottom"/>
            <w:tcBorders>
              <w:top w:val="single" w:sz="8" w:color="0000EE"/>
            </w:tcBorders>
            <w:gridSpan w:val="8"/>
          </w:tcPr>
          <w:p>
            <w:pPr>
              <w:spacing w:after="0"/>
              <w:rPr>
                <w:sz w:val="17"/>
                <w:szCs w:val="17"/>
                <w:color w:val="auto"/>
              </w:rPr>
            </w:pPr>
          </w:p>
        </w:tc>
        <w:tc>
          <w:tcPr>
            <w:tcW w:w="5640" w:type="dxa"/>
            <w:vAlign w:val="bottom"/>
            <w:gridSpan w:val="5"/>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10600" w:type="dxa"/>
            <w:vAlign w:val="bottom"/>
            <w:gridSpan w:val="2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PART II. OTHER INFORMATION</w:t>
              </w:r>
            </w:hyperlink>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8020" w:type="dxa"/>
            <w:vAlign w:val="bottom"/>
            <w:gridSpan w:val="12"/>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1A. Risk Factors</w:t>
              </w:r>
            </w:hyperlink>
          </w:p>
        </w:tc>
        <w:tc>
          <w:tcPr>
            <w:tcW w:w="9000" w:type="dxa"/>
            <w:vAlign w:val="bottom"/>
            <w:gridSpan w:val="16"/>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2. Unregistered Sales of Equity Securities and Use of Proceeds</w:t>
              </w:r>
            </w:hyperlink>
          </w:p>
        </w:tc>
        <w:tc>
          <w:tcPr>
            <w:tcW w:w="5680" w:type="dxa"/>
            <w:vAlign w:val="bottom"/>
            <w:gridSpan w:val="6"/>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00" w:type="dxa"/>
            <w:vAlign w:val="bottom"/>
            <w:gridSpan w:val="2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3. Defaults Upon Senior Securities</w:t>
              </w:r>
            </w:hyperlink>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4. Submission of Matters to a Vote of Security-Holders</w:t>
              </w:r>
            </w:hyperlink>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5. Other Information</w:t>
              </w:r>
            </w:hyperlink>
          </w:p>
        </w:tc>
        <w:tc>
          <w:tcPr>
            <w:tcW w:w="2460" w:type="dxa"/>
            <w:vAlign w:val="bottom"/>
            <w:tcBorders>
              <w:top w:val="single" w:sz="8" w:color="0000EE"/>
            </w:tcBorders>
            <w:gridSpan w:val="8"/>
          </w:tcPr>
          <w:p>
            <w:pPr>
              <w:spacing w:after="0"/>
              <w:rPr>
                <w:sz w:val="17"/>
                <w:szCs w:val="17"/>
                <w:color w:val="auto"/>
              </w:rPr>
            </w:pPr>
          </w:p>
        </w:tc>
        <w:tc>
          <w:tcPr>
            <w:tcW w:w="6260" w:type="dxa"/>
            <w:vAlign w:val="bottom"/>
            <w:gridSpan w:val="7"/>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00" w:type="dxa"/>
            <w:vAlign w:val="bottom"/>
            <w:gridSpan w:val="2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6. Exhibits</w:t>
              </w:r>
            </w:hyperlink>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SIGNATURES</w:t>
              </w:r>
            </w:hyperlink>
          </w:p>
        </w:tc>
        <w:tc>
          <w:tcPr>
            <w:tcW w:w="40" w:type="dxa"/>
            <w:vAlign w:val="bottom"/>
            <w:tcBorders>
              <w:top w:val="single" w:sz="8" w:color="0000EE"/>
            </w:tcBorders>
          </w:tcPr>
          <w:p>
            <w:pPr>
              <w:spacing w:after="0"/>
              <w:rPr>
                <w:sz w:val="17"/>
                <w:szCs w:val="17"/>
                <w:color w:val="auto"/>
              </w:rPr>
            </w:pPr>
          </w:p>
        </w:tc>
        <w:tc>
          <w:tcPr>
            <w:tcW w:w="9440" w:type="dxa"/>
            <w:vAlign w:val="bottom"/>
            <w:gridSpan w:val="17"/>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EXHIBIT 31.1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50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EXHIBIT 31.2</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32.1</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color w:val="auto"/>
              </w:rPr>
              <w:t>March 31, 2007</w:t>
            </w:r>
          </w:p>
        </w:tc>
        <w:tc>
          <w:tcPr>
            <w:tcW w:w="30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December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50,921,611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551,795,529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Receivables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347,091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1,066,351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52,335,053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57,530,492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2,605,542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3,483,621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60,991,714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66,856,817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738,724</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1,699,671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wind-down expenses,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1,362,856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16,826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Bonds payable, current portion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3,991,410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4,149,809</w:t>
            </w: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Bonds payable, less current maturities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1,112,916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466,211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Accrued wind-down expenses, non-current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5,235,846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912,129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11,894,996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$.01 par value; 125,000,000 shares authorized; 78,625,667 and 78,046,304 shares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outstanding at March 31, 2007 and December 31, 2006,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786,256</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257,486,314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255,299,508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(209,511,697)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(204,891,945)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335,845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49,096,718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54,376,003</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60,991,714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66,856,817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2007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00" w:type="dxa"/>
            <w:vAlign w:val="bottom"/>
          </w:tcPr>
          <w:p>
            <w:pPr>
              <w:spacing w:after="0"/>
              <w:rPr>
                <w:sz w:val="16"/>
                <w:szCs w:val="16"/>
                <w:color w:val="auto"/>
              </w:rPr>
            </w:pPr>
          </w:p>
        </w:tc>
        <w:tc>
          <w:tcPr>
            <w:tcW w:w="9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from grants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 from licensing agreements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5,946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4,019,138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2,264,548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Wind-down expenses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6,505,451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4,525,322</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(6,499,505)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and settlement agreement, net</w:t>
            </w: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550,467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717,621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653,606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(33,317)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1,879,753</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4"/>
                <w:szCs w:val="24"/>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4,619,752)</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4,193,126)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 basic and diluted</w:t>
            </w:r>
          </w:p>
        </w:tc>
        <w:tc>
          <w:tcPr>
            <w:tcW w:w="100" w:type="dxa"/>
            <w:vAlign w:val="bottom"/>
          </w:tcPr>
          <w:p>
            <w:pPr>
              <w:spacing w:after="0"/>
              <w:rPr>
                <w:sz w:val="20"/>
                <w:szCs w:val="20"/>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78,566,195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65,443,062</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2007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00" w:type="dxa"/>
            <w:vAlign w:val="bottom"/>
          </w:tcPr>
          <w:p>
            <w:pPr>
              <w:spacing w:after="0"/>
              <w:rPr>
                <w:sz w:val="16"/>
                <w:szCs w:val="16"/>
                <w:color w:val="auto"/>
              </w:rPr>
            </w:pPr>
          </w:p>
        </w:tc>
        <w:tc>
          <w:tcPr>
            <w:tcW w:w="9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w w:val="98"/>
              </w:rPr>
              <w:t>($4,619,752)</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266,481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701,253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income from license and settlement agreement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(550,467)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(717,621)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Receivables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135,759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current assets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53,116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(236,271)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wind-down expenses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(151,555)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(47,603)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Deposits and other long-term liabilities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(81,181)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(5,252,048)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marketable securities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3,076,691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(124,906)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(211,531)</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2,951,785</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(expense) from issuance of common stock</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1,290,437</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200,908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debt obligations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1,426,345</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(873,918)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(3,665,034)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51,795,529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34,540,908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50,921,611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$ 30,875,874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2"/>
            <w:vMerge w:val="continue"/>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33,317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38,593</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4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March 31, 2007 and 2006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447"/>
        <w:spacing w:after="0" w:line="255" w:lineRule="auto"/>
        <w:rPr>
          <w:sz w:val="20"/>
          <w:szCs w:val="20"/>
          <w:color w:val="auto"/>
        </w:rPr>
      </w:pPr>
      <w:r>
        <w:rPr>
          <w:rFonts w:ascii="Times New Roman" w:cs="Times New Roman" w:eastAsia="Times New Roman" w:hAnsi="Times New Roman"/>
          <w:sz w:val="18"/>
          <w:szCs w:val="18"/>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2007, are not necessarily indicative of the results that may be expected for the entire fiscal year ending December 31, 2007.</w:t>
      </w:r>
    </w:p>
    <w:p>
      <w:pPr>
        <w:spacing w:after="0" w:line="81" w:lineRule="exact"/>
        <w:rPr>
          <w:sz w:val="20"/>
          <w:szCs w:val="20"/>
          <w:color w:val="auto"/>
        </w:rPr>
      </w:pPr>
    </w:p>
    <w:p>
      <w:pPr>
        <w:ind w:right="40" w:firstLine="447"/>
        <w:spacing w:after="0" w:line="266" w:lineRule="auto"/>
        <w:rPr>
          <w:sz w:val="20"/>
          <w:szCs w:val="20"/>
          <w:color w:val="auto"/>
        </w:rPr>
      </w:pPr>
      <w:r>
        <w:rPr>
          <w:rFonts w:ascii="Times New Roman" w:cs="Times New Roman" w:eastAsia="Times New Roman" w:hAnsi="Times New Roman"/>
          <w:sz w:val="18"/>
          <w:szCs w:val="18"/>
          <w:color w:val="auto"/>
        </w:rPr>
        <w:t>The balance sheet at December 31, 2006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2006, included on Form 10-K.</w:t>
      </w:r>
    </w:p>
    <w:p>
      <w:pPr>
        <w:spacing w:after="0" w:line="68" w:lineRule="exact"/>
        <w:rPr>
          <w:sz w:val="20"/>
          <w:szCs w:val="20"/>
          <w:color w:val="auto"/>
        </w:rPr>
      </w:pPr>
    </w:p>
    <w:p>
      <w:pPr>
        <w:ind w:firstLine="447"/>
        <w:spacing w:after="0" w:line="254" w:lineRule="auto"/>
        <w:rPr>
          <w:sz w:val="20"/>
          <w:szCs w:val="20"/>
          <w:color w:val="auto"/>
        </w:rPr>
      </w:pPr>
      <w:r>
        <w:rPr>
          <w:rFonts w:ascii="Times New Roman" w:cs="Times New Roman" w:eastAsia="Times New Roman" w:hAnsi="Times New Roman"/>
          <w:sz w:val="18"/>
          <w:szCs w:val="18"/>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00" w:firstLine="447"/>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following:</w:t>
      </w:r>
    </w:p>
    <w:p>
      <w:pPr>
        <w:spacing w:after="0" w:line="68" w:lineRule="exact"/>
        <w:rPr>
          <w:sz w:val="20"/>
          <w:szCs w:val="20"/>
          <w:color w:val="auto"/>
        </w:rPr>
      </w:pPr>
    </w:p>
    <w:p>
      <w:pPr>
        <w:ind w:left="660" w:hanging="436"/>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wind-down expenses (See Note 4).</w:t>
      </w:r>
    </w:p>
    <w:p>
      <w:pPr>
        <w:spacing w:after="0" w:line="130" w:lineRule="exact"/>
        <w:rPr>
          <w:rFonts w:ascii="Times New Roman" w:cs="Times New Roman" w:eastAsia="Times New Roman" w:hAnsi="Times New Roman"/>
          <w:sz w:val="18"/>
          <w:szCs w:val="18"/>
          <w:b w:val="1"/>
          <w:bCs w:val="1"/>
          <w:color w:val="auto"/>
        </w:rPr>
      </w:pPr>
    </w:p>
    <w:p>
      <w:pPr>
        <w:ind w:left="660" w:right="300" w:hanging="436"/>
        <w:spacing w:after="0" w:line="28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grant date fair value of share-based awards recognized as compensation expense in accordance with the provisions of Statement of Financial Accounting Standards No.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123R). See “Stock-Based Compensation”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19" w:lineRule="exact"/>
        <w:rPr>
          <w:sz w:val="20"/>
          <w:szCs w:val="20"/>
          <w:color w:val="auto"/>
        </w:rPr>
      </w:pPr>
    </w:p>
    <w:p>
      <w:pPr>
        <w:ind w:right="20" w:firstLine="225"/>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Statement of Financial Accounting Standards (SFAS) No. 115 </w:t>
      </w:r>
      <w:r>
        <w:rPr>
          <w:rFonts w:ascii="Times New Roman" w:cs="Times New Roman" w:eastAsia="Times New Roman" w:hAnsi="Times New Roman"/>
          <w:sz w:val="18"/>
          <w:szCs w:val="18"/>
          <w:i w:val="1"/>
          <w:iCs w:val="1"/>
          <w:color w:val="auto"/>
        </w:rPr>
        <w:t>“Accounting for Certain Investments in Debt and Equity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classified its investment in equity securities as available-for-sale marketable securities in the accompanying consolidated financial statements (See Note 2). The marketable securities are stated at fair market value, with unrealized gains and losses reported in other comprehensive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reviews securities with unrealized losses for other than temporary impairment. A decline in the fair value of securities that is deemed other than temporary is charged to earnings when so deemed.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19" w:lineRule="exact"/>
        <w:rPr>
          <w:sz w:val="20"/>
          <w:szCs w:val="20"/>
          <w:color w:val="auto"/>
        </w:rPr>
      </w:pPr>
    </w:p>
    <w:p>
      <w:pPr>
        <w:ind w:right="140" w:firstLine="447"/>
        <w:spacing w:after="0" w:line="277" w:lineRule="auto"/>
        <w:rPr>
          <w:sz w:val="20"/>
          <w:szCs w:val="20"/>
          <w:color w:val="auto"/>
        </w:rPr>
      </w:pPr>
      <w:r>
        <w:rPr>
          <w:rFonts w:ascii="Times New Roman" w:cs="Times New Roman" w:eastAsia="Times New Roman" w:hAnsi="Times New Roman"/>
          <w:sz w:val="17"/>
          <w:szCs w:val="17"/>
          <w:color w:val="auto"/>
        </w:rPr>
        <w:t xml:space="preserve">The Company has computed net loss per common share according to the SFAS No. 128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82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71"/>
        </w:trPr>
        <w:tc>
          <w:tcPr>
            <w:tcW w:w="86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1048"/>
              <w:spacing w:after="0"/>
              <w:rPr>
                <w:sz w:val="20"/>
                <w:szCs w:val="20"/>
                <w:color w:val="auto"/>
              </w:rPr>
            </w:pPr>
            <w:r>
              <w:rPr>
                <w:rFonts w:ascii="Times New Roman" w:cs="Times New Roman" w:eastAsia="Times New Roman" w:hAnsi="Times New Roman"/>
                <w:sz w:val="14"/>
                <w:szCs w:val="14"/>
                <w:color w:val="auto"/>
              </w:rPr>
              <w:t>March 31,</w:t>
            </w:r>
          </w:p>
        </w:tc>
      </w:tr>
      <w:tr>
        <w:trPr>
          <w:trHeight w:val="142"/>
        </w:trPr>
        <w:tc>
          <w:tcPr>
            <w:tcW w:w="8600" w:type="dxa"/>
            <w:vAlign w:val="bottom"/>
          </w:tcPr>
          <w:p>
            <w:pPr>
              <w:spacing w:after="0"/>
              <w:rPr>
                <w:sz w:val="12"/>
                <w:szCs w:val="12"/>
                <w:color w:val="auto"/>
              </w:rPr>
            </w:pPr>
          </w:p>
        </w:tc>
        <w:tc>
          <w:tcPr>
            <w:tcW w:w="110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520" w:type="dxa"/>
            <w:vAlign w:val="bottom"/>
          </w:tcPr>
          <w:p>
            <w:pPr>
              <w:spacing w:after="0"/>
              <w:rPr>
                <w:sz w:val="12"/>
                <w:szCs w:val="12"/>
                <w:color w:val="auto"/>
              </w:rPr>
            </w:pPr>
          </w:p>
        </w:tc>
        <w:tc>
          <w:tcPr>
            <w:tcW w:w="120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2006</w:t>
            </w: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($4,619,752)</w:t>
            </w:r>
          </w:p>
        </w:tc>
        <w:tc>
          <w:tcPr>
            <w:tcW w:w="17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($4,193,126)</w:t>
            </w:r>
          </w:p>
        </w:tc>
      </w:tr>
      <w:tr>
        <w:trPr>
          <w:trHeight w:val="198"/>
        </w:trPr>
        <w:tc>
          <w:tcPr>
            <w:tcW w:w="8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applicable to common stockholders, basic and</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78,566,195</w:t>
            </w:r>
          </w:p>
        </w:tc>
        <w:tc>
          <w:tcPr>
            <w:tcW w:w="17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65,443,062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applicable to common stockholders, basic and diluted.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7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($0.06)</w:t>
            </w:r>
          </w:p>
        </w:tc>
      </w:tr>
    </w:tbl>
    <w:p>
      <w:pPr>
        <w:spacing w:after="0" w:line="90" w:lineRule="exact"/>
        <w:rPr>
          <w:sz w:val="20"/>
          <w:szCs w:val="20"/>
          <w:color w:val="auto"/>
        </w:rPr>
      </w:pPr>
    </w:p>
    <w:p>
      <w:pPr>
        <w:ind w:right="240" w:firstLine="447"/>
        <w:spacing w:after="0" w:line="282" w:lineRule="auto"/>
        <w:rPr>
          <w:sz w:val="20"/>
          <w:szCs w:val="20"/>
          <w:color w:val="auto"/>
        </w:rPr>
      </w:pPr>
      <w:r>
        <w:rPr>
          <w:rFonts w:ascii="Times New Roman" w:cs="Times New Roman" w:eastAsia="Times New Roman" w:hAnsi="Times New Roman"/>
          <w:sz w:val="18"/>
          <w:szCs w:val="18"/>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62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color w:val="auto"/>
              </w:rPr>
              <w:t>Outstanding at March 31,</w:t>
            </w:r>
          </w:p>
        </w:tc>
      </w:tr>
      <w:tr>
        <w:trPr>
          <w:trHeight w:val="171"/>
        </w:trPr>
        <w:tc>
          <w:tcPr>
            <w:tcW w:w="8800" w:type="dxa"/>
            <w:vAlign w:val="bottom"/>
          </w:tcPr>
          <w:p>
            <w:pPr>
              <w:spacing w:after="0"/>
              <w:rPr>
                <w:sz w:val="14"/>
                <w:szCs w:val="14"/>
                <w:color w:val="auto"/>
              </w:rPr>
            </w:pPr>
          </w:p>
        </w:tc>
        <w:tc>
          <w:tcPr>
            <w:tcW w:w="10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2007</w:t>
            </w:r>
          </w:p>
        </w:tc>
        <w:tc>
          <w:tcPr>
            <w:tcW w:w="54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2006</w:t>
            </w: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8,607,859</w:t>
            </w:r>
          </w:p>
        </w:tc>
        <w:tc>
          <w:tcPr>
            <w:tcW w:w="16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6,828,323</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1,930,658</w:t>
            </w:r>
          </w:p>
        </w:tc>
        <w:tc>
          <w:tcPr>
            <w:tcW w:w="16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1,995,000</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10,538,517</w:t>
            </w:r>
          </w:p>
        </w:tc>
        <w:tc>
          <w:tcPr>
            <w:tcW w:w="16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8,823,323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ind w:right="300" w:firstLine="447"/>
        <w:spacing w:after="0" w:line="282" w:lineRule="auto"/>
        <w:rPr>
          <w:sz w:val="20"/>
          <w:szCs w:val="20"/>
          <w:color w:val="auto"/>
        </w:rPr>
      </w:pPr>
      <w:r>
        <w:rPr>
          <w:rFonts w:ascii="Times New Roman" w:cs="Times New Roman" w:eastAsia="Times New Roman" w:hAnsi="Times New Roman"/>
          <w:sz w:val="18"/>
          <w:szCs w:val="18"/>
          <w:color w:val="auto"/>
        </w:rPr>
        <w:t>The only component of other comprehensive income is unrealized gains and losses on available for sale securities (See Note 2). The following table summarizes the components of the Company’s comprehensive income for the three months ended March 31, 2007 and 2006.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March 31,</w:t>
            </w:r>
          </w:p>
        </w:tc>
        <w:tc>
          <w:tcPr>
            <w:tcW w:w="162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color w:val="auto"/>
              </w:rPr>
              <w:t>2007</w:t>
            </w:r>
          </w:p>
        </w:tc>
        <w:tc>
          <w:tcPr>
            <w:tcW w:w="17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color w:val="auto"/>
              </w:rPr>
              <w:t>2006</w:t>
            </w:r>
          </w:p>
        </w:tc>
      </w:tr>
      <w:tr>
        <w:trPr>
          <w:trHeight w:val="210"/>
        </w:trPr>
        <w:tc>
          <w:tcPr>
            <w:tcW w:w="20" w:type="dxa"/>
            <w:vAlign w:val="bottom"/>
          </w:tcPr>
          <w:p>
            <w:pPr>
              <w:spacing w:after="0"/>
              <w:rPr>
                <w:sz w:val="18"/>
                <w:szCs w:val="18"/>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($4,619,752)</w:t>
            </w:r>
          </w:p>
        </w:tc>
        <w:tc>
          <w:tcPr>
            <w:tcW w:w="5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($4,193,126)</w:t>
            </w: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(unrealized loss on marketable securities)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(2,852,133)</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(1,300,327)</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($7,471,885)</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($5,493,453)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40" w:firstLine="225"/>
        <w:spacing w:after="0" w:line="266" w:lineRule="auto"/>
        <w:rPr>
          <w:sz w:val="20"/>
          <w:szCs w:val="20"/>
          <w:color w:val="auto"/>
        </w:rPr>
      </w:pPr>
      <w:r>
        <w:rPr>
          <w:rFonts w:ascii="Times New Roman" w:cs="Times New Roman" w:eastAsia="Times New Roman" w:hAnsi="Times New Roman"/>
          <w:sz w:val="18"/>
          <w:szCs w:val="18"/>
          <w:color w:val="auto"/>
        </w:rPr>
        <w:t>In December 2004, the Financial Accounting Standards Board (FASB) issued SFAS 123R. SFAS 123R requires all share-based payments to employees, or to non-employee directors as compensation for service on the Board of Directors, to be recognized as compensation expense in the consolidated financial statements based on the fair values of such payments. The Company maintains shareholder approved stock-based compensation plans,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which it grants stock-based compensation to its employees, and to non-employee directors for Board service. These grants are primarily in the form of options that allow a grantee to purchase a fixed number of shares of the Company’s common stock at a fixed exercise price equal to the market price of the shares at the date of the grant (“qualified stock option grants”) with a contractual term of ten years. The options may vest on a single date or in tranches over a period of time, but normally they do not vest unless the grantee is still employed by or a director of the Company on the vesting date. The compensation expense for these grants will be recognized over the requisite service period which is typically the period over which the stock-based compensation awards vest. In March 2005, the Securities and Exchange Commission (SEC) issued Staff Accounting Bulletin No. 107 (SAB 107), which provides guidance on the implementation of SFAS 123R. The Company applied the principles of SAB 107 in conjunction with its adoption of SFAS 123R.</w:t>
      </w:r>
    </w:p>
    <w:p>
      <w:pPr>
        <w:spacing w:after="0" w:line="81" w:lineRule="exact"/>
        <w:rPr>
          <w:sz w:val="20"/>
          <w:szCs w:val="20"/>
          <w:color w:val="auto"/>
        </w:rPr>
      </w:pPr>
    </w:p>
    <w:p>
      <w:pPr>
        <w:ind w:right="60" w:firstLine="447"/>
        <w:spacing w:after="0" w:line="254" w:lineRule="auto"/>
        <w:rPr>
          <w:sz w:val="20"/>
          <w:szCs w:val="20"/>
          <w:color w:val="auto"/>
        </w:rPr>
      </w:pPr>
      <w:r>
        <w:rPr>
          <w:rFonts w:ascii="Times New Roman" w:cs="Times New Roman" w:eastAsia="Times New Roman" w:hAnsi="Times New Roman"/>
          <w:sz w:val="18"/>
          <w:szCs w:val="18"/>
          <w:color w:val="auto"/>
        </w:rPr>
        <w:t>The Company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In accordance with SFAS 123R, the Company recognized stock option related compensation expense of approximately $619,000 and $388,000 for the three-month periods ended March 31, 2007 and 2006 respectively. All options granted in the three-month period ended March 31, 2007 were qualified stock options and the related compensation expense was recognized on a straight line basis over the vesting period of each grant net of estimated forfeitures. The Company’s estimated forfeiture rates are based on its historical experience within separate groups of employees. The estimated fair value of the options granted during 2007 and prior years was calculated using a Black Scholes Merton option pricing model (Black Scholes model). The following summarizes the weighted average fair value per share of options granted during the period and assumptions used in the Black Scholes model to calculate the fair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24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42"/>
        </w:trPr>
        <w:tc>
          <w:tcPr>
            <w:tcW w:w="8960" w:type="dxa"/>
            <w:vAlign w:val="bottom"/>
          </w:tcPr>
          <w:p>
            <w:pPr>
              <w:spacing w:after="0"/>
              <w:rPr>
                <w:sz w:val="12"/>
                <w:szCs w:val="12"/>
                <w:color w:val="auto"/>
              </w:rPr>
            </w:pPr>
          </w:p>
        </w:tc>
        <w:tc>
          <w:tcPr>
            <w:tcW w:w="9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560" w:type="dxa"/>
            <w:vAlign w:val="bottom"/>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2006</w:t>
            </w:r>
          </w:p>
        </w:tc>
      </w:tr>
      <w:tr>
        <w:trPr>
          <w:trHeight w:val="21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share of options granted</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2.16</w:t>
            </w:r>
          </w:p>
        </w:tc>
        <w:tc>
          <w:tcPr>
            <w:tcW w:w="15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$ 3.26</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Assumptions: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Risk — free interest rate</w:t>
            </w:r>
            <w:r>
              <w:rPr>
                <w:rFonts w:ascii="Times New Roman" w:cs="Times New Roman" w:eastAsia="Times New Roman" w:hAnsi="Times New Roman"/>
                <w:sz w:val="15"/>
                <w:szCs w:val="15"/>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5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15"/>
                <w:szCs w:val="15"/>
                <w:color w:val="auto"/>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5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119.5%</w:t>
            </w:r>
          </w:p>
        </w:tc>
      </w:tr>
      <w:tr>
        <w:trPr>
          <w:trHeight w:val="216"/>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yield</w:t>
            </w:r>
            <w:r>
              <w:rPr>
                <w:rFonts w:ascii="Times New Roman" w:cs="Times New Roman" w:eastAsia="Times New Roman" w:hAnsi="Times New Roman"/>
                <w:sz w:val="15"/>
                <w:szCs w:val="15"/>
                <w:color w:val="auto"/>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term (years until exercise)</w:t>
            </w:r>
            <w:r>
              <w:rPr>
                <w:rFonts w:ascii="Times New Roman" w:cs="Times New Roman" w:eastAsia="Times New Roman" w:hAnsi="Times New Roman"/>
                <w:sz w:val="15"/>
                <w:szCs w:val="15"/>
                <w:color w:val="auto"/>
              </w:rPr>
              <w:t>(4)</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6.25</w:t>
            </w:r>
          </w:p>
        </w:tc>
        <w:tc>
          <w:tcPr>
            <w:tcW w:w="15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U.S. Treasury debt securities with maturities close to the expected term of the option.</w:t>
      </w:r>
    </w:p>
    <w:p>
      <w:pPr>
        <w:spacing w:after="0" w:line="76"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13"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dividends have been declared on the Company’s common stock since the Company’s inception, and the Company currently does not anticipate paying cash dividends over the expected term of the option.</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equal to the average of the contractual life of the stock option and its vesting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At March 31, 2007, approximately $5,861,000 of unrecognized compensation expense related to stock options is expected to be recognized over a weighted average period of approximately 1.6 years. The resulting effect on net loss and net loss per share attributable to common stockholders is not likely to be representative of the effects in future periods, due to changes in forfeiture rates, additional grants and subsequent periods of vesting.</w:t>
      </w:r>
    </w:p>
    <w:p>
      <w:pPr>
        <w:spacing w:after="0" w:line="68" w:lineRule="exact"/>
        <w:rPr>
          <w:sz w:val="20"/>
          <w:szCs w:val="20"/>
          <w:color w:val="auto"/>
        </w:rPr>
      </w:pPr>
    </w:p>
    <w:p>
      <w:pPr>
        <w:ind w:right="380" w:firstLine="447"/>
        <w:spacing w:after="0" w:line="282" w:lineRule="auto"/>
        <w:rPr>
          <w:sz w:val="20"/>
          <w:szCs w:val="20"/>
          <w:color w:val="auto"/>
        </w:rPr>
      </w:pPr>
      <w:r>
        <w:rPr>
          <w:rFonts w:ascii="Times New Roman" w:cs="Times New Roman" w:eastAsia="Times New Roman" w:hAnsi="Times New Roman"/>
          <w:sz w:val="18"/>
          <w:szCs w:val="18"/>
          <w:color w:val="auto"/>
        </w:rPr>
        <w:t>The Company has four active stock option plans that were authorized to award 14,000,000 shares in aggregate. 5,011,256 shares were available for grant from these four plans at March 31, 2007.</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activity for the three months ended March 31,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Weighted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w w:val="99"/>
              </w:rPr>
              <w:t>Weighted</w:t>
            </w:r>
          </w:p>
        </w:tc>
        <w:tc>
          <w:tcPr>
            <w:tcW w:w="2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9"/>
              </w:rPr>
              <w:t>Aggregate</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contractual</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options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term (years)</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8,501,503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5,028,270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420,000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spacing w:after="0"/>
              <w:rPr>
                <w:sz w:val="18"/>
                <w:szCs w:val="18"/>
                <w:color w:val="auto"/>
              </w:rPr>
            </w:pPr>
          </w:p>
        </w:tc>
        <w:tc>
          <w:tcPr>
            <w:tcW w:w="1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25,200(1)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(169,187)</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389,981</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(144,457)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2007</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8,607,859</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4,181,124(1)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2007</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4,845,859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8"/>
                <w:szCs w:val="18"/>
                <w:color w:val="auto"/>
              </w:rPr>
            </w:pPr>
          </w:p>
        </w:tc>
        <w:tc>
          <w:tcPr>
            <w:tcW w:w="1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2,772,202(1)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2007 (2)</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7,949,963</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3,937,853(1)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intrinsic values are calculated using the Company’s closing stock price of $2.52 on March 30, 2007.</w:t>
      </w:r>
    </w:p>
    <w:p>
      <w:pPr>
        <w:spacing w:after="0" w:line="76" w:lineRule="exact"/>
        <w:rPr>
          <w:rFonts w:ascii="Times New Roman" w:cs="Times New Roman" w:eastAsia="Times New Roman" w:hAnsi="Times New Roman"/>
          <w:sz w:val="18"/>
          <w:szCs w:val="18"/>
          <w:color w:val="auto"/>
        </w:rPr>
      </w:pPr>
    </w:p>
    <w:p>
      <w:pPr>
        <w:ind w:left="440" w:right="360" w:hanging="432"/>
        <w:spacing w:after="0" w:line="407" w:lineRule="auto"/>
        <w:tabs>
          <w:tab w:leader="none" w:pos="4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calculations include options already vested at March 31, 2007 and options expected to vest net of estimated forfeitures after March 31, 2007. A summary of the changes to the Company’s unvested options during the three-month period ended March 31, 2007 is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50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Unvested Options</w:t>
            </w: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underlying unvested</w:t>
            </w:r>
          </w:p>
        </w:tc>
        <w:tc>
          <w:tcPr>
            <w:tcW w:w="5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auto"/>
            </w:tcBorders>
            <w:vMerge w:val="continue"/>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grant 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options at December 31, 2006</w:t>
            </w:r>
          </w:p>
        </w:tc>
        <w:tc>
          <w:tcPr>
            <w:tcW w:w="546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3,598,784</w:t>
            </w:r>
          </w:p>
        </w:tc>
        <w:tc>
          <w:tcPr>
            <w:tcW w:w="16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Granted this period</w:t>
            </w:r>
          </w:p>
        </w:tc>
        <w:tc>
          <w:tcPr>
            <w:tcW w:w="5460" w:type="dxa"/>
            <w:vAlign w:val="bottom"/>
            <w:gridSpan w:val="3"/>
          </w:tcPr>
          <w:p>
            <w:pPr>
              <w:jc w:val="right"/>
              <w:ind w:right="328"/>
              <w:spacing w:after="0"/>
              <w:rPr>
                <w:sz w:val="20"/>
                <w:szCs w:val="20"/>
                <w:color w:val="auto"/>
              </w:rPr>
            </w:pPr>
            <w:r>
              <w:rPr>
                <w:rFonts w:ascii="Times New Roman" w:cs="Times New Roman" w:eastAsia="Times New Roman" w:hAnsi="Times New Roman"/>
                <w:sz w:val="18"/>
                <w:szCs w:val="18"/>
                <w:color w:val="auto"/>
              </w:rPr>
              <w:t>420,000</w:t>
            </w:r>
          </w:p>
        </w:tc>
        <w:tc>
          <w:tcPr>
            <w:tcW w:w="16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this period</w:t>
            </w:r>
          </w:p>
        </w:tc>
        <w:tc>
          <w:tcPr>
            <w:tcW w:w="546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(260,649)</w:t>
            </w:r>
          </w:p>
        </w:tc>
        <w:tc>
          <w:tcPr>
            <w:tcW w:w="16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Forfeited this period</w:t>
            </w:r>
          </w:p>
        </w:tc>
        <w:tc>
          <w:tcPr>
            <w:tcW w:w="546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rPr>
              <w:t>(36,135)</w:t>
            </w:r>
          </w:p>
        </w:tc>
        <w:tc>
          <w:tcPr>
            <w:tcW w:w="16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options at March 31, 2007</w:t>
            </w:r>
          </w:p>
        </w:tc>
        <w:tc>
          <w:tcPr>
            <w:tcW w:w="546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3,722,000</w:t>
            </w:r>
          </w:p>
        </w:tc>
        <w:tc>
          <w:tcPr>
            <w:tcW w:w="16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 options granted to non-employees in accordance with SFAS 123 and Emerging Issues Task Force (EITF) 96-18 — </w:t>
      </w:r>
      <w:r>
        <w:rPr>
          <w:rFonts w:ascii="Times New Roman" w:cs="Times New Roman" w:eastAsia="Times New Roman" w:hAnsi="Times New Roman"/>
          <w:sz w:val="18"/>
          <w:szCs w:val="18"/>
          <w:i w:val="1"/>
          <w:iCs w:val="1"/>
          <w:color w:val="auto"/>
        </w:rPr>
        <w:t xml:space="preserve">“Accounting For Equity Instruments That Are Issued To Other Than Employees For Acquiring, Or In Conjunction With Selling, Goods Or Services,”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recognizes as expense the estimated fair value of such options as calculated using the Black Scholes model. The fair value is re-measured at each reporting date during the service period and is amortized over the vesting period of each option or the recipient’s contractual arrangement, if shorter. No stock options were issued to non-employees during the three month period ending March 31, 2007, other than options granted to non-employee members of the Board of Directors for service as Board members.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12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In July 2006, the Company, pursuant to the 2006 Equity Incentive Plan, granted cash-settled Stock Appreciation Rights (SARs) to certain employees. The SARs give the holder the right, upon exercise, to the difference between the price per share of the Company’s common stock at the time of exercise and the exercise price of the SAR. The exercise price of the SARs is equal to the market price of the Company’s common shares at the date of grant. The SARs will vest on the same schedule as the Company’s qualified options issued to employees, i.e., 25% on the first anniversary of the grant date and then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every month thereafter. The Company will recognize compensation expense for the SARs over the requisite service period which is typically the period over which the awards vest. Compensation expense is based on the fair value of SARs which is calculated using the Black Scholes model. The share-based compensation liability for the cost of the requisite service that has been rendered to the reporting date is re-measured at each reporting date through the date of settlement. The following table presents the activity of the Company’s SARs awards for the three month periods ended March 31, 2007 and 2006.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color w:val="auto"/>
              </w:rPr>
              <w:t>2007</w:t>
            </w:r>
          </w:p>
        </w:tc>
        <w:tc>
          <w:tcPr>
            <w:tcW w:w="1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60" w:type="dxa"/>
            <w:vAlign w:val="bottom"/>
          </w:tcPr>
          <w:p>
            <w:pPr>
              <w:jc w:val="right"/>
              <w:ind w:right="776"/>
              <w:spacing w:after="0" w:line="119" w:lineRule="exact"/>
              <w:rPr>
                <w:sz w:val="20"/>
                <w:szCs w:val="20"/>
                <w:color w:val="auto"/>
              </w:rPr>
            </w:pPr>
            <w:r>
              <w:rPr>
                <w:rFonts w:ascii="Times New Roman" w:cs="Times New Roman" w:eastAsia="Times New Roman" w:hAnsi="Times New Roman"/>
                <w:sz w:val="13"/>
                <w:szCs w:val="13"/>
                <w:color w:val="auto"/>
              </w:rPr>
              <w:t>Weighted</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ind w:left="358"/>
              <w:spacing w:after="0" w:line="119" w:lineRule="exact"/>
              <w:rPr>
                <w:sz w:val="20"/>
                <w:szCs w:val="20"/>
                <w:color w:val="auto"/>
              </w:rPr>
            </w:pPr>
            <w:r>
              <w:rPr>
                <w:rFonts w:ascii="Times New Roman" w:cs="Times New Roman" w:eastAsia="Times New Roman" w:hAnsi="Times New Roman"/>
                <w:sz w:val="13"/>
                <w:szCs w:val="13"/>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SARs</w:t>
            </w:r>
          </w:p>
        </w:tc>
        <w:tc>
          <w:tcPr>
            <w:tcW w:w="22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Average Exercise</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SARs</w:t>
            </w:r>
          </w:p>
        </w:tc>
        <w:tc>
          <w:tcPr>
            <w:tcW w:w="1560" w:type="dxa"/>
            <w:vAlign w:val="bottom"/>
            <w:gridSpan w:val="2"/>
          </w:tcPr>
          <w:p>
            <w:pPr>
              <w:jc w:val="center"/>
              <w:ind w:left="278"/>
              <w:spacing w:after="0" w:line="149" w:lineRule="exact"/>
              <w:rPr>
                <w:sz w:val="20"/>
                <w:szCs w:val="20"/>
                <w:color w:val="auto"/>
              </w:rPr>
            </w:pPr>
            <w:r>
              <w:rPr>
                <w:rFonts w:ascii="Times New Roman" w:cs="Times New Roman" w:eastAsia="Times New Roman" w:hAnsi="Times New Roman"/>
                <w:sz w:val="14"/>
                <w:szCs w:val="14"/>
                <w:color w:val="auto"/>
              </w:rPr>
              <w:t>Average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color w:val="auto"/>
              </w:rPr>
              <w:t>Price</w:t>
            </w:r>
          </w:p>
        </w:tc>
        <w:tc>
          <w:tcPr>
            <w:tcW w:w="840" w:type="dxa"/>
            <w:vAlign w:val="bottom"/>
            <w:tcBorders>
              <w:bottom w:val="single" w:sz="8" w:color="auto"/>
            </w:tcBorders>
            <w:gridSpan w:val="2"/>
            <w:vMerge w:val="continue"/>
          </w:tcPr>
          <w:p>
            <w:pPr>
              <w:spacing w:after="0"/>
              <w:rPr>
                <w:sz w:val="14"/>
                <w:szCs w:val="14"/>
                <w:color w:val="auto"/>
              </w:rPr>
            </w:pPr>
          </w:p>
        </w:tc>
        <w:tc>
          <w:tcPr>
            <w:tcW w:w="1560" w:type="dxa"/>
            <w:vAlign w:val="bottom"/>
            <w:tcBorders>
              <w:bottom w:val="single" w:sz="8" w:color="auto"/>
            </w:tcBorders>
            <w:gridSpan w:val="2"/>
          </w:tcPr>
          <w:p>
            <w:pPr>
              <w:jc w:val="center"/>
              <w:ind w:left="258"/>
              <w:spacing w:after="0"/>
              <w:rPr>
                <w:sz w:val="20"/>
                <w:szCs w:val="20"/>
                <w:color w:val="auto"/>
              </w:rPr>
            </w:pPr>
            <w:r>
              <w:rPr>
                <w:rFonts w:ascii="Times New Roman" w:cs="Times New Roman" w:eastAsia="Times New Roman" w:hAnsi="Times New Roman"/>
                <w:sz w:val="14"/>
                <w:szCs w:val="14"/>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1,564,599</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2.00</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4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1,564,599</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SARs exercisable at March 31</w:t>
            </w: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vMerge w:val="restart"/>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spacing w:after="0" w:line="20" w:lineRule="exact"/>
              <w:rPr>
                <w:sz w:val="1"/>
                <w:szCs w:val="1"/>
                <w:color w:val="auto"/>
              </w:rPr>
            </w:pPr>
          </w:p>
        </w:tc>
        <w:tc>
          <w:tcPr>
            <w:tcW w:w="15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40" w:firstLine="450"/>
        <w:spacing w:after="0" w:line="258" w:lineRule="auto"/>
        <w:rPr>
          <w:sz w:val="20"/>
          <w:szCs w:val="20"/>
          <w:color w:val="auto"/>
        </w:rPr>
      </w:pPr>
      <w:r>
        <w:rPr>
          <w:rFonts w:ascii="Times New Roman" w:cs="Times New Roman" w:eastAsia="Times New Roman" w:hAnsi="Times New Roman"/>
          <w:sz w:val="18"/>
          <w:szCs w:val="18"/>
          <w:color w:val="auto"/>
        </w:rPr>
        <w:t>For the three-month period ended March 31, 2007 we recorded approximately $168,000 as compensation expense related to SARs granted. At March 31, 2007, approximately $2,187,000 of unrecognized compensation expense related to SARs is expected to be recognized over a weighted average period of approximately 1.75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The Company currently recognizes revenues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In June 2006, the FASB issued Interpretation No. 48</w:t>
      </w:r>
      <w:r>
        <w:rPr>
          <w:rFonts w:ascii="Times New Roman" w:cs="Times New Roman" w:eastAsia="Times New Roman" w:hAnsi="Times New Roman"/>
          <w:sz w:val="18"/>
          <w:szCs w:val="18"/>
          <w:i w:val="1"/>
          <w:iCs w:val="1"/>
          <w:color w:val="auto"/>
        </w:rPr>
        <w:t>, “Accounting for Uncertainty in Income Taxes—an Interpretation of FASB Statement No. 109”</w:t>
      </w:r>
      <w:r>
        <w:rPr>
          <w:rFonts w:ascii="Times New Roman" w:cs="Times New Roman" w:eastAsia="Times New Roman" w:hAnsi="Times New Roman"/>
          <w:sz w:val="18"/>
          <w:szCs w:val="18"/>
          <w:color w:val="auto"/>
        </w:rPr>
        <w:t xml:space="preserve"> (“FIN 48”). FIN 48 clarifies the accounting for uncertainty in income taxes recognized in an entity’s financial statements in accordance with SFAS No. 109, “Accounting for Income Taxes,” and prescribes a recognition threshold and measurement attribute for the financial statement recognition and measurement of a tax position taken or expected to be taken in a tax return. Additionally, FIN 48 provides guidance on subsequent derecognition of tax positions, financial statement classification, recognition of interest and penalties, accounting in interim periods, and disclosure and transition requirements. The Company adopted the provisions of FIN 48 on January 1, 2007. Previously, the Company had accounted for tax contingencies in accordance with Statement of Financial Accounting Standards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As required by FIN 48,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the adoption date, the Company applied FIN 48 to all tax positions for which the statute of limitations remained open. The amount of unrecognized tax benefits as of January 1, 2007 was zero. There have been no material changes in unrecognized tax benefits since January 1, 2007. As of January 1, 2007, due to the carry forward of unutilized net operating losses and research and development credits, the Company is subject to U.S. Federal income tax examinations for the tax years 1992 through 2006, and to state income tax examinations for the tax years 1999 through 2006. The Company recognizes accrued interest related to unrecognized tax benefits in interest expense and penalties in operating expense. No amounts were accrued for the payment of interest and penalties at January 1, 2007. The Company’s adoption of FIN 48 did not have a material effect on the Company’s financial condition, results of operations or cash flows (See Note 7).</w:t>
      </w:r>
    </w:p>
    <w:p>
      <w:pPr>
        <w:spacing w:after="0" w:line="88" w:lineRule="exact"/>
        <w:rPr>
          <w:sz w:val="20"/>
          <w:szCs w:val="20"/>
          <w:color w:val="auto"/>
        </w:rPr>
      </w:pPr>
    </w:p>
    <w:p>
      <w:pPr>
        <w:ind w:right="80" w:firstLine="450"/>
        <w:spacing w:after="0" w:line="259" w:lineRule="auto"/>
        <w:rPr>
          <w:sz w:val="20"/>
          <w:szCs w:val="20"/>
          <w:color w:val="auto"/>
        </w:rPr>
      </w:pPr>
      <w:r>
        <w:rPr>
          <w:rFonts w:ascii="Times New Roman" w:cs="Times New Roman" w:eastAsia="Times New Roman" w:hAnsi="Times New Roman"/>
          <w:sz w:val="18"/>
          <w:szCs w:val="18"/>
          <w:color w:val="auto"/>
        </w:rPr>
        <w:t xml:space="preserve">In September 2006, the FASB issued FASB Statement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which defines fair value, establishes a framework for measuring fair value under GAAP, and expands disclosures about fair value measurements. SFAS 157 applies to other accounting pronouncements that require or permit fair value measurements. The new guidance is effective for financial statements issued for fiscal years beginning after November 15, 2007, and for interim periods within those fiscal years. The Company is currently evaluating the requirements of SFAS 157; however, it does not believe that its adoption will have a material effect on its consolidated financial statements.</w:t>
      </w:r>
    </w:p>
    <w:p>
      <w:pPr>
        <w:spacing w:after="0" w:line="72" w:lineRule="exact"/>
        <w:rPr>
          <w:sz w:val="20"/>
          <w:szCs w:val="20"/>
          <w:color w:val="auto"/>
        </w:rPr>
      </w:pPr>
    </w:p>
    <w:p>
      <w:pPr>
        <w:ind w:right="60" w:firstLine="450"/>
        <w:spacing w:after="0" w:line="259" w:lineRule="auto"/>
        <w:rPr>
          <w:sz w:val="20"/>
          <w:szCs w:val="20"/>
          <w:color w:val="auto"/>
        </w:rPr>
      </w:pPr>
      <w:r>
        <w:rPr>
          <w:rFonts w:ascii="Times New Roman" w:cs="Times New Roman" w:eastAsia="Times New Roman" w:hAnsi="Times New Roman"/>
          <w:sz w:val="18"/>
          <w:szCs w:val="18"/>
          <w:color w:val="auto"/>
        </w:rPr>
        <w:t>In February 2007, the FASB issued Statement No. 159, “</w:t>
      </w:r>
      <w:r>
        <w:rPr>
          <w:rFonts w:ascii="Times New Roman" w:cs="Times New Roman" w:eastAsia="Times New Roman" w:hAnsi="Times New Roman"/>
          <w:sz w:val="18"/>
          <w:szCs w:val="18"/>
          <w:i w:val="1"/>
          <w:iCs w:val="1"/>
          <w:color w:val="auto"/>
        </w:rPr>
        <w:t>The Fair Value Option for Financial Assets and Financial Liabilities — Including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amendment of FASB Statement No. 115” </w:t>
      </w:r>
      <w:r>
        <w:rPr>
          <w:rFonts w:ascii="Times New Roman" w:cs="Times New Roman" w:eastAsia="Times New Roman" w:hAnsi="Times New Roman"/>
          <w:sz w:val="18"/>
          <w:szCs w:val="18"/>
          <w:color w:val="auto"/>
        </w:rPr>
        <w:t>(SFAS 159). SFAS 159 provides companies with an option to report selected financial assets and liabilities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SFAS 159’s objectives are to reduce both complexity in accounting for financial instruments and the volatility in earnings caused by measuring related assets and liabilities differently. SFAS 159 is effective as of the beginning of an entity’s first fiscal year beginning after November 15, 2007. The Company is currently evaluating the potential impact, if any, that the adoption of SFAS159 will have on its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RENEURON LICENSE AND SETTLEMENT AGREEMENT</w:t>
      </w:r>
    </w:p>
    <w:p>
      <w:pPr>
        <w:spacing w:after="0" w:line="121"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As of December 31, 2006, the Company held 9,274,837 shares of ReNeuron common stock with fair value of approximately $7,266,000. In February 2007, the Company sold approximately 5,275,000 ordinary shares of ReNeuron for net proceeds of approximately $3,077,000. The Company recorded approximately $718,000 as realized gain for this transaction. In February 2007, ReNeuron issued additional shares of common stock as a consequence of certain anti-dilution provisions in the agreement. StemCells was entitled to approximately 822,000 shares net of approximately 12,000 shares to be transferred to Neurospheres Ltd., (Neurosphere) an Alberta corporation from which StemCells has licensed some of the patent rights that are subject to the agreement with ReNeuron. The Company recorded approximately $550,000 as other income for the additional shares. As of March 31, 2007, the Company owned approximately 4,822,000 ordinary shares of ReNeuron with a fair market value of approximately $2,606,000</w:t>
      </w:r>
    </w:p>
    <w:p>
      <w:pPr>
        <w:spacing w:after="0" w:line="85"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The unrealized gain as of March 31, 2007 is approximately $336,000. A decline in the fair value of securities that is deemed other than temporary would be charged to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21" w:lineRule="exact"/>
        <w:rPr>
          <w:sz w:val="20"/>
          <w:szCs w:val="20"/>
          <w:color w:val="auto"/>
        </w:rPr>
      </w:pPr>
    </w:p>
    <w:p>
      <w:pPr>
        <w:ind w:right="120" w:firstLine="447"/>
        <w:spacing w:after="0" w:line="257" w:lineRule="auto"/>
        <w:rPr>
          <w:sz w:val="20"/>
          <w:szCs w:val="20"/>
          <w:color w:val="auto"/>
        </w:rPr>
      </w:pPr>
      <w:r>
        <w:rPr>
          <w:rFonts w:ascii="Times New Roman" w:cs="Times New Roman" w:eastAsia="Times New Roman" w:hAnsi="Times New Roman"/>
          <w:sz w:val="18"/>
          <w:szCs w:val="18"/>
          <w:color w:val="auto"/>
        </w:rPr>
        <w:t>The Company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August 2014. Interest rates vary with the respective bonds’ maturities, ranging currently from 8.2% to 9.5%. The outstanding principal at March 31, 2007 was approximately $1,286,000. The bonds contain certain restrictive covenants, which limit among other things, the payment of cash dividends and the sale of the related assets.</w:t>
      </w:r>
    </w:p>
    <w:p>
      <w:pPr>
        <w:spacing w:after="0" w:line="78" w:lineRule="exact"/>
        <w:rPr>
          <w:sz w:val="20"/>
          <w:szCs w:val="20"/>
          <w:color w:val="auto"/>
        </w:rPr>
      </w:pPr>
    </w:p>
    <w:p>
      <w:pPr>
        <w:ind w:right="120" w:firstLine="447"/>
        <w:spacing w:after="0" w:line="261" w:lineRule="auto"/>
        <w:rPr>
          <w:sz w:val="20"/>
          <w:szCs w:val="20"/>
          <w:color w:val="auto"/>
        </w:rPr>
      </w:pPr>
      <w:r>
        <w:rPr>
          <w:rFonts w:ascii="Times New Roman" w:cs="Times New Roman" w:eastAsia="Times New Roman" w:hAnsi="Times New Roman"/>
          <w:sz w:val="18"/>
          <w:szCs w:val="18"/>
          <w:color w:val="auto"/>
        </w:rPr>
        <w:t>The Company entered into a fifteen-year lease for a laboratory facility in Rhode Island in connection with a sale and leaseback arrangement in 1997. The lease has escalating rent payments and accordingly, the Company is recognizing rent expense on a straight-line basis. At December 31, 2006 and March 31, 2007, the Company had deferred rent liability for this facility of approximately $1,238,000 and $1,246,000 respectively; the deferred rent liability is presented as part of the wind-down accrual.</w:t>
      </w:r>
    </w:p>
    <w:p>
      <w:pPr>
        <w:spacing w:after="0" w:line="7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February 1, 2001, the Company entered into a 5-year lease for 40,000 square feet of an approximately 68,000 square foot facility located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Stanford Research Park in Palo Alto, CA. The facility includes space for animals, laboratories and offices. On December 19, 2002, the Company negotiated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amendment to the lease, which resulted in reducing the average annual rent over the remaining term of the lease from approximately $3.7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As part of the amendment, the Company issued a letter of credit on January 2, 2003 for $503,079, which was an addition to the letter of credit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$275,000 issued at commencement of the lease, to serve as a deposit for the duration of the lease. The Company negotiated 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amendment to the lease effective April 1, 2005, which extends the term of the lease through March 31, 2010, includes a reduction in the rent per square foot, and provides for an expansion of the leased premises by approximately 28,000 additional square feet. The average annual rent due from the Company under its lease for the period commencing April 1, 2005 to March 31, 2010 is approximately $2 million before subtenant income. The lease has escalating rent payments, which the Company is recognizing on a straight-line basis. At March 31, 2007, the Company had deferred rent liability for this facility of approximately $912,000. At March 31, 2007, the Company has a space-sharing agreement covering in total approximately 11,000 square feet of this facility. The Company receives the amount of base rent plus the proportionate share of the operating expenses that it pays for such space over the term of these agreements.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RELOCATION TO CALIFORNIA FROM RHODE ISLAND</w:t>
      </w:r>
    </w:p>
    <w:p>
      <w:pPr>
        <w:spacing w:after="0" w:line="121"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 Company intends to dispose of the facility at the earliest possible time, the Company’s management cannot determine with certainty a fixed date by which such disposal will occur. In light of this uncertainty, the Company periodically re-evaluates and adjusts the reserve. The Company considers various factors such as the Company’s lease payments through to the end of the lease, operating expenses, the current real estate market in Rhode Island, and estimated subtenant income based on actual and projected occupancy. At December 31, 2006, the reserve was approximately $5,512,000. For the three-month period ended March 31, 2007, the Company incurred approximately $381,000 in operating expenses, which was recorded against the reserve. After evaluating the afore-mentioned factors, the Company re-valued the reserve to $5,353,000 at March 31, 2007 by recording an additional $222,000 as wind-down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January to</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January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March 31, 2007</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wind-down reserve at beginning of period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Less actual expenses recorded against estimated reserve during the period</w:t>
            </w:r>
          </w:p>
        </w:tc>
        <w:tc>
          <w:tcPr>
            <w:tcW w:w="1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(381,000)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(1,295,000)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expense recorded to revise estimated reserve at period-end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709,000</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Revised reserve at period-end</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5,353,000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rent at period end (See Note 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1,238,000</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wind-down expenses at period-end (current and non current portion)</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6,599,000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wind-down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1,363,000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 current portion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5,498,000</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wind-down expenses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6,599,000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GRANTS</w:t>
      </w:r>
    </w:p>
    <w:p>
      <w:pPr>
        <w:spacing w:after="0" w:line="121"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In September 2004, the National Institutes of Health (NIH) awarded the Company a Small Business Technology Transfer grant of $464,000 for studies in Alzheimer’s disease, consisting of approximately $308,000 for the first year and approximately $156,000 for the remainder of the grant term, September 30, 2005 through March 31, 2006. The studies have been conducted by Dr. George A. Carlson of the McLaughlin Research Institute (MRI) in Great Falls, Montana, which will receive approximately $222,000 of the total award. The remaining $242,000 has been recognized by the Company as grant revenue as and when resources were expended for this study. For the three-month period ended March 31, 2006, the Company recognized approximately $38,000, after which;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drawn down in full its share of the grant. The Company had no grant revenue for the three-month period ended March 31, 2007.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21"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On December 29, 2006, the Company filed a Prospectus Supplement announcing the entry of a sales agreement with Cantor Fitzgerald &amp; Co. (Cantor) under which up to 10,000,000 shares may be sold from time to time under a shelf registration statement. For the three-month period ended March 31, 2007, the Company sold approximately 397,000 shares under this sales agreement at an average price of $3.51 per share and received net proceeds of approximately $1,325,000. Cantor is paid compensation equal to 5.0% of the gross proceeds pursuant to the terms of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At December 31, 2006, the Company had net operating loss carryforwards for Federal income tax purposes of approximately $118,560,000 expiring in the years 2007 through 2026 and net operating loss carry forwards for state income tax purposes of approximately $11,747,000 which expire in the years 2009 through 2016. The Company did not provide for a tax benefit, because it is more likely than not, that any such benefit would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As part of the sales agreement with Cantor to sell up to 10,000,000 shares of the Company’s common stock in at-the-market offerings or negotiated transactions from time to time, in April 2007, the Company sold approximately 820,000 shares at an average price of $2.94 per share and received net proceeds of approximately $2,289,000.</w:t>
      </w:r>
    </w:p>
    <w:p>
      <w:pPr>
        <w:spacing w:after="0" w:line="68" w:lineRule="exact"/>
        <w:rPr>
          <w:sz w:val="20"/>
          <w:szCs w:val="20"/>
          <w:color w:val="auto"/>
        </w:rPr>
      </w:pPr>
    </w:p>
    <w:p>
      <w:pPr>
        <w:ind w:right="100" w:firstLine="450"/>
        <w:spacing w:after="0" w:line="313" w:lineRule="auto"/>
        <w:rPr>
          <w:sz w:val="20"/>
          <w:szCs w:val="20"/>
          <w:color w:val="auto"/>
        </w:rPr>
      </w:pPr>
      <w:r>
        <w:rPr>
          <w:rFonts w:ascii="Times New Roman" w:cs="Times New Roman" w:eastAsia="Times New Roman" w:hAnsi="Times New Roman"/>
          <w:sz w:val="17"/>
          <w:szCs w:val="17"/>
          <w:color w:val="auto"/>
        </w:rPr>
        <w:t>In April 2007, a warrant issued as part of a June 16, 2004 financing arrangement, was exercised to purchase an aggregate of 575,658 shares of the Company’s common stock at $1.90 per share. The Company issued 575,658 shares of its common stock and received proceeds of approximately $1,094,000.</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ind w:right="480" w:firstLine="447"/>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condition and the results of our operations for the three-month periods ended March 31, 2007 and 2006 should be read in conjunction with the accompanying unaudited condensed consolidated financial statements and the related footnotes thereto.</w:t>
      </w:r>
    </w:p>
    <w:p>
      <w:pPr>
        <w:spacing w:after="0" w:line="54" w:lineRule="exact"/>
        <w:rPr>
          <w:sz w:val="20"/>
          <w:szCs w:val="20"/>
          <w:color w:val="auto"/>
        </w:rPr>
      </w:pPr>
    </w:p>
    <w:p>
      <w:pPr>
        <w:ind w:right="40" w:firstLine="447"/>
        <w:spacing w:after="0" w:line="252"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will permit us to proceed with clinical testing of proposed products despite the novel and unproven nature of our technology; the risk that our initial clinical trial could be substantially delayed beyond its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cell-based therapeutics programs; the uncertainty regarding the outcome of the Company’s Phase I clinical trial in NCL and any other trials we may conduct in the future; the uncertainty regarding the validity and enforceability of our issued patents; the uncertainty whether any products that may be generated in our cell-based therapeutics programs will prove clinically effective and not cause tumors or other side effects; the uncertainty whether we will achieve revenues from product sales or become profitable; uncertainties regarding our obligations in regard to our former encapsulated cell therapy facilities in Rhode Island; obsolescence of our technology; competition from third parties; intellectual property rights of third parties and litigation and other risks to which we are subject. All forward-looking statements attributable to us or to persons acting on our behalf are expressly qualified in their entirety by the cautionary statements and risk factors set forth in Item 1A (Risk Factors) and elsewhere in our Form 10-K for the year ended December 31, 2006 and the risk factors set forth in Part II, Item 1A (Risk Factors) and elsewhere in this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18"/>
          <w:szCs w:val="18"/>
          <w:color w:val="auto"/>
        </w:rPr>
        <w:t>Since our inception in 1988, we have been primarily engaged in research and development of human therapeutic products. Since the second half of 1999, our sole focus has been on our stem cell technology. We are currently conducting a Phase I clinical trial of our human neural stem cells as a treatment for infantile and late infantile neuronal ceroid lipofuscinosis (NCL), a fatal neurodegenerative disease often referred to as Batten disease. The trial is being conducted at Oregon Health &amp; Science University’s Doernbecher Children’s Hospital in Portland, Oregon.</w:t>
      </w:r>
    </w:p>
    <w:p>
      <w:pPr>
        <w:spacing w:after="0" w:line="72" w:lineRule="exact"/>
        <w:rPr>
          <w:sz w:val="20"/>
          <w:szCs w:val="20"/>
          <w:color w:val="auto"/>
        </w:rPr>
      </w:pPr>
    </w:p>
    <w:p>
      <w:pPr>
        <w:ind w:firstLine="447"/>
        <w:spacing w:after="0" w:line="254" w:lineRule="auto"/>
        <w:rPr>
          <w:sz w:val="20"/>
          <w:szCs w:val="20"/>
          <w:color w:val="auto"/>
        </w:rPr>
      </w:pPr>
      <w:r>
        <w:rPr>
          <w:rFonts w:ascii="Times New Roman" w:cs="Times New Roman" w:eastAsia="Times New Roman" w:hAnsi="Times New Roman"/>
          <w:sz w:val="18"/>
          <w:szCs w:val="18"/>
          <w:color w:val="auto"/>
        </w:rPr>
        <w:t>We have not derived any revenues from the sale of any products apart from license revenue for the research use of certain of our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screening and enrolling patients and for preparing HuCNS-SC doses for our Phase I clinical trial and will incur more such expenditures for any future clinical trials. We previously had expenditures for toxicology and other studies in preparation for submitting the Investigational New Drug application (IND) for our Phase I trial for NCL to the FDA and getting it cleared by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operations. There are no such collaborative research arrangements at this time and there can be no assurance that such financing or partnering revenues will be available when needed or on terms acceptable to us.</w:t>
      </w:r>
    </w:p>
    <w:p>
      <w:pPr>
        <w:spacing w:after="0" w:line="54" w:lineRule="exact"/>
        <w:rPr>
          <w:sz w:val="20"/>
          <w:szCs w:val="20"/>
          <w:color w:val="auto"/>
        </w:rPr>
      </w:pPr>
    </w:p>
    <w:p>
      <w:pPr>
        <w:ind w:right="560" w:firstLine="450"/>
        <w:spacing w:after="0" w:line="256" w:lineRule="auto"/>
        <w:rPr>
          <w:sz w:val="20"/>
          <w:szCs w:val="20"/>
          <w:color w:val="auto"/>
        </w:rPr>
      </w:pPr>
      <w:r>
        <w:rPr>
          <w:rFonts w:ascii="Times New Roman" w:cs="Times New Roman" w:eastAsia="Times New Roman" w:hAnsi="Times New Roman"/>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as well as to enhance our internal controls over financial reporting, we will need to hire more personnel, which will lead to higher operating expenses.</w:t>
      </w:r>
    </w:p>
    <w:p>
      <w:pPr>
        <w:spacing w:after="0" w:line="80"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Our Neural Program ranges from the preclinical stage, in which we test human neural stem cells in small animal models of human diseases, both in-house and through external academic collaborators, through the development phase, in which we evaluate improvements to expansion methods and the toxicology of the cells, through the clinical development phase, with respect to the Phase I clinical trial in NCL mentioned above. In our Liver Program, we are engaged in evaluating our proprietary liver engrafting cell in various in vivo assays, and are planning to advance our liver stem cell program into product development as rapidly as we can. Our pancreas program is still in the discovery stage and further evaluation of the therapeutic potential of the candidate human pancreatic stem/progenitor cell will be required.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80" w:firstLine="447"/>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our more significant judgments and estimates used in the preparation of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 and the grant date fair value of share based awards recognized as compensation expense in accordance with the provisions of SFAS 123R.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December 2004, FASB issued SFAS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which is a revision of SFAS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and amends SFAS No. 95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SFAS 123R supersedes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xml:space="preserve">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We adopted SFAS 123R effective January 1, 2006. Adoption of the expensing requirements has increased our losses.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340" w:firstLine="447"/>
        <w:spacing w:after="0" w:line="282" w:lineRule="auto"/>
        <w:rPr>
          <w:sz w:val="20"/>
          <w:szCs w:val="20"/>
          <w:color w:val="auto"/>
        </w:rPr>
      </w:pPr>
      <w:r>
        <w:rPr>
          <w:rFonts w:ascii="Times New Roman" w:cs="Times New Roman" w:eastAsia="Times New Roman" w:hAnsi="Times New Roman"/>
          <w:sz w:val="18"/>
          <w:szCs w:val="18"/>
          <w:color w:val="auto"/>
        </w:rPr>
        <w:t>We expense all research and development costs as incurred. Research and development costs include costs of personnel, external services, supplies, facilities and miscellaneous other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and Exit Costs</w:t>
      </w:r>
    </w:p>
    <w:p>
      <w:pPr>
        <w:spacing w:after="0" w:line="121"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Times New Roman" w:cs="Times New Roman" w:eastAsia="Times New Roman" w:hAnsi="Times New Roman"/>
          <w:sz w:val="18"/>
          <w:szCs w:val="18"/>
          <w:i w:val="1"/>
          <w:iCs w:val="1"/>
          <w:color w:val="auto"/>
        </w:rPr>
        <w:t>Other Cost to Exit an Activity.</w:t>
      </w:r>
      <w:r>
        <w:rPr>
          <w:rFonts w:ascii="Times New Roman" w:cs="Times New Roman" w:eastAsia="Times New Roman" w:hAnsi="Times New Roman"/>
          <w:sz w:val="18"/>
          <w:szCs w:val="18"/>
          <w:color w:val="auto"/>
        </w:rPr>
        <w:t>” The reserve reflects estimates of the ongoing costs of our former research and administrative facility in Lincoln, which we hold on a lease that terminates on June 30, 2013. We are seeking to sublease, assign, sell or otherwise divest ourselves of our interest in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at the earliest possible time, but we cannot determine with certainty a fixed date by which such events will occur, if at all.</w:t>
      </w:r>
    </w:p>
    <w:p>
      <w:pPr>
        <w:spacing w:after="0" w:line="117"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In determining the facility exit cost reserve amount, we are required to consider the Company’s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76"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2006 was approximately 67%, varying from 49% to 80%. As of March 31, 2007, based on current information available to management, the vacancy rate is projected to be 91% for the remainder of 2007, and approximately 75% for 2008 and 70% from 2009 through the end of the lease. These estimates are based on actual occupancy in 2007, expiration of subleases in 2007 and 2008, predicted lead time for acquiring new subtenants, historical vacancy rates for the area and assessments by our broker/realtor of future real estate market conditions. If the assumed vacancy rate for 2008 to the end of the Lease had been five percentage points higher or lower at March 31, 2007, then the reserve would have increased or decreased by approximately $232,000. Similarly, a 5% increase or decrease in the operating expenses for the facility from 2007 would have increased or decreased the reserve by approximately $121,000, and a 5% increase or decrease in the assumed average rental charge per square foot would have increased or decreased the reserve by approximately $70,000. Management does not wait for specific events to change its estimate, but instead uses its best efforts to anticipate them on a quarterly basis.</w:t>
      </w:r>
    </w:p>
    <w:p>
      <w:pPr>
        <w:spacing w:after="0" w:line="89" w:lineRule="exact"/>
        <w:rPr>
          <w:sz w:val="20"/>
          <w:szCs w:val="20"/>
          <w:color w:val="auto"/>
        </w:rPr>
      </w:pPr>
    </w:p>
    <w:p>
      <w:pPr>
        <w:ind w:right="60" w:firstLine="447"/>
        <w:spacing w:after="0" w:line="266" w:lineRule="auto"/>
        <w:rPr>
          <w:sz w:val="20"/>
          <w:szCs w:val="20"/>
          <w:color w:val="auto"/>
        </w:rPr>
      </w:pPr>
      <w:r>
        <w:rPr>
          <w:rFonts w:ascii="Times New Roman" w:cs="Times New Roman" w:eastAsia="Times New Roman" w:hAnsi="Times New Roman"/>
          <w:sz w:val="18"/>
          <w:szCs w:val="18"/>
          <w:color w:val="auto"/>
        </w:rPr>
        <w:t>The wind-down reserve at the end of December 31, 2006 was $5,512,000. For the three -month period ended March 31, 2007 we recorded actual expenses against this reserve of approximately $381,000. Based on management’s evaluation of the factors mentioned, and particularly the projected vacancy rates described above, we adjusted the reserve to $5,353,000 by recording an additional $222,000 for the three-month period ended March 31, 2007.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 June 2006, the FASB issued Interpretation No. 48</w:t>
      </w:r>
      <w:r>
        <w:rPr>
          <w:rFonts w:ascii="Times New Roman" w:cs="Times New Roman" w:eastAsia="Times New Roman" w:hAnsi="Times New Roman"/>
          <w:sz w:val="18"/>
          <w:szCs w:val="18"/>
          <w:i w:val="1"/>
          <w:iCs w:val="1"/>
          <w:color w:val="auto"/>
        </w:rPr>
        <w:t>, “Accounting for Uncertainty in Income Taxes—an Interpretation of FASB Statement No. 109”</w:t>
      </w:r>
      <w:r>
        <w:rPr>
          <w:rFonts w:ascii="Times New Roman" w:cs="Times New Roman" w:eastAsia="Times New Roman" w:hAnsi="Times New Roman"/>
          <w:sz w:val="18"/>
          <w:szCs w:val="18"/>
          <w:color w:val="auto"/>
        </w:rPr>
        <w:t xml:space="preserve"> (“FIN 48”). FIN 48 clarifies the accounting for uncertainty in income taxes recognized in an entity’s financial statements in accordance with SFAS No. 109, “Accounting for Income Taxes,” and prescribes a recognition threshold and measurement attribute for the financial statement recognition and measurement of a tax position taken or expected to be taken in a tax return. Additionally, FIN 48 provides guidance on subsequent derecognition of tax positions, financial statement classification, recognition of interest and penalties, accounting in interim periods, and disclosure and transition requirements. We adopted the provisions of FIN 48 on January 1, 2007. Previously, we had accounted for tax contingencies in accordance with Statement of Financial Accounting Standards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As required by FIN 48,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the adoption date, we applied FIN 48 to all tax positions for which the statute of limitations remained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open. The amount of unrecognized tax benefits as of January 1, 2007 was zero. There have been no material changes in unrecognized tax benefits since January 1, 2007. We are subject to income taxes in the U.S. federal jurisdiction and various state jurisdictions. As of January 1, 2007, due to the carry forward of unutilized net operating losses and research and development credits, the Company is subject to U.S. Federal income tax examinations for the tax years 1992 through 2006, and to state income tax examinations for the tax years 1999 through 2006. We recognize accrued interest related to unrecognized tax benefits in interest expense and penalties in operating expense. No amounts were accrued for the payment of interest and penalties at January 1, 2007. Our adoption of FIN 48 did not have a material effect on our financial condition, results of operations or cash flows (See Note 7).</w:t>
      </w:r>
    </w:p>
    <w:p>
      <w:pPr>
        <w:spacing w:after="0" w:line="78" w:lineRule="exact"/>
        <w:rPr>
          <w:sz w:val="20"/>
          <w:szCs w:val="20"/>
          <w:color w:val="auto"/>
        </w:rPr>
      </w:pPr>
    </w:p>
    <w:p>
      <w:pPr>
        <w:ind w:right="80" w:firstLine="225"/>
        <w:spacing w:after="0" w:line="259" w:lineRule="auto"/>
        <w:rPr>
          <w:sz w:val="20"/>
          <w:szCs w:val="20"/>
          <w:color w:val="auto"/>
        </w:rPr>
      </w:pPr>
      <w:r>
        <w:rPr>
          <w:rFonts w:ascii="Times New Roman" w:cs="Times New Roman" w:eastAsia="Times New Roman" w:hAnsi="Times New Roman"/>
          <w:sz w:val="18"/>
          <w:szCs w:val="18"/>
          <w:color w:val="auto"/>
        </w:rPr>
        <w:t xml:space="preserve">In September 2006, the FASB issued FASB Statement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which defines fair value, establishes a framework for measuring fair value under GAAP, and expands disclosures about fair value measurements. SFAS 157 applies to other accounting pronouncements that require or permit fair value measurements. The new guidance is effective for financial statements issued for fiscal years beginning after November 15, 2007, and for interim periods within those fiscal years. We are currently evaluating the requirements of SFAS 157; however, we do not believe that its adoption will have a material effect on our consolidated financial statements.</w:t>
      </w:r>
    </w:p>
    <w:p>
      <w:pPr>
        <w:spacing w:after="0" w:line="72" w:lineRule="exact"/>
        <w:rPr>
          <w:sz w:val="20"/>
          <w:szCs w:val="20"/>
          <w:color w:val="auto"/>
        </w:rPr>
      </w:pPr>
    </w:p>
    <w:p>
      <w:pPr>
        <w:ind w:right="80" w:firstLine="675"/>
        <w:spacing w:after="0" w:line="259" w:lineRule="auto"/>
        <w:rPr>
          <w:sz w:val="20"/>
          <w:szCs w:val="20"/>
          <w:color w:val="auto"/>
        </w:rPr>
      </w:pPr>
      <w:r>
        <w:rPr>
          <w:rFonts w:ascii="Times New Roman" w:cs="Times New Roman" w:eastAsia="Times New Roman" w:hAnsi="Times New Roman"/>
          <w:sz w:val="18"/>
          <w:szCs w:val="18"/>
          <w:color w:val="auto"/>
        </w:rPr>
        <w:t>In February 2007, the FASB issued Statement No. 159, “</w:t>
      </w:r>
      <w:r>
        <w:rPr>
          <w:rFonts w:ascii="Times New Roman" w:cs="Times New Roman" w:eastAsia="Times New Roman" w:hAnsi="Times New Roman"/>
          <w:sz w:val="18"/>
          <w:szCs w:val="18"/>
          <w:i w:val="1"/>
          <w:iCs w:val="1"/>
          <w:color w:val="auto"/>
        </w:rPr>
        <w:t>The Fair Value Option for Financial Assets and Financial Liabilities — Including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amendment of FASB Statement No. 115” </w:t>
      </w:r>
      <w:r>
        <w:rPr>
          <w:rFonts w:ascii="Times New Roman" w:cs="Times New Roman" w:eastAsia="Times New Roman" w:hAnsi="Times New Roman"/>
          <w:sz w:val="18"/>
          <w:szCs w:val="18"/>
          <w:color w:val="auto"/>
        </w:rPr>
        <w:t>(SFAS 159). SFAS 159 provides companies with an option to report selected financial assets and liabilities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SFAS 159’s objectives are to reduce both complexity in accounting for financial instruments and the volatility in earnings caused by measuring related assets and liabilities differently. SFAS 159 is effective as of the beginning of an entity’s first fiscal year beginning after November 15, 2007. We are currently evaluating the potential impact, if any, that the adoption of SFAS159 will have on our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2007 and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for the three-month period ended March 31, 2007, as compared with the same period in 2006,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color w:val="auto"/>
              </w:rPr>
              <w:t>2007</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2006</w:t>
            </w: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376"/>
              <w:spacing w:after="0"/>
              <w:rPr>
                <w:sz w:val="20"/>
                <w:szCs w:val="20"/>
                <w:color w:val="auto"/>
              </w:rPr>
            </w:pPr>
            <w:r>
              <w:rPr>
                <w:rFonts w:ascii="Times New Roman" w:cs="Times New Roman" w:eastAsia="Times New Roman" w:hAnsi="Times New Roman"/>
                <w:sz w:val="14"/>
                <w:szCs w:val="14"/>
                <w:color w:val="auto"/>
              </w:rPr>
              <w:t>Change from previous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gridSpan w:val="2"/>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from grants and licensing agreements</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5,946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41,550</w:t>
            </w:r>
          </w:p>
        </w:tc>
        <w:tc>
          <w:tcPr>
            <w:tcW w:w="154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 (35,604)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5,946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41,550</w:t>
            </w:r>
          </w:p>
        </w:tc>
        <w:tc>
          <w:tcPr>
            <w:tcW w:w="15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 (35,604)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80" w:firstLine="45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2007 and 2006, revenue from grants and licensing agreements totaled approximately $6,000 and $42,000 respectively. The decrease in revenue from 2006 to 2007 was primarily attributable to the completed draw down by March 31, 2006 of a September 2004 Small Business Technology Transfer grant for studies in Alzheimer’s disease. The grant of $464,000 for studies in Alzheimer’s disease consisted of approximately $308,000 for the first year and approximately $156,000 for the remainder of the grant term, March 31, 2005 through March 31, 2006.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 for the three-month period ended March 31, 2007, as compared with the same period in 2006, is summarized in the table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1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2007</w:t>
            </w: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color w:val="auto"/>
              </w:rPr>
              <w:t>2006</w:t>
            </w:r>
          </w:p>
        </w:tc>
        <w:tc>
          <w:tcPr>
            <w:tcW w:w="340" w:type="dxa"/>
            <w:vAlign w:val="bottom"/>
          </w:tcPr>
          <w:p>
            <w:pPr>
              <w:spacing w:after="0"/>
              <w:rPr>
                <w:sz w:val="14"/>
                <w:szCs w:val="14"/>
                <w:color w:val="auto"/>
              </w:rPr>
            </w:pPr>
          </w:p>
        </w:tc>
        <w:tc>
          <w:tcPr>
            <w:tcW w:w="2340" w:type="dxa"/>
            <w:vAlign w:val="bottom"/>
            <w:gridSpan w:val="2"/>
          </w:tcPr>
          <w:p>
            <w:pPr>
              <w:jc w:val="right"/>
              <w:ind w:right="394"/>
              <w:spacing w:after="0"/>
              <w:rPr>
                <w:sz w:val="20"/>
                <w:szCs w:val="20"/>
                <w:color w:val="auto"/>
              </w:rPr>
            </w:pPr>
            <w:r>
              <w:rPr>
                <w:rFonts w:ascii="Times New Roman" w:cs="Times New Roman" w:eastAsia="Times New Roman" w:hAnsi="Times New Roman"/>
                <w:sz w:val="14"/>
                <w:szCs w:val="14"/>
                <w:color w:val="auto"/>
              </w:rPr>
              <w:t>Change from previous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$ 4,019,138</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$ 2,691,881</w:t>
            </w:r>
          </w:p>
        </w:tc>
        <w:tc>
          <w:tcPr>
            <w:tcW w:w="16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$ 1,327,257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2,264,548</w:t>
            </w:r>
          </w:p>
        </w:tc>
        <w:tc>
          <w:tcPr>
            <w:tcW w:w="1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1,677,324</w:t>
            </w:r>
          </w:p>
        </w:tc>
        <w:tc>
          <w:tcPr>
            <w:tcW w:w="16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587,224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Wind-down expenses</w:t>
            </w:r>
          </w:p>
        </w:tc>
        <w:tc>
          <w:tcPr>
            <w:tcW w:w="3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221,765</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156,117</w:t>
            </w:r>
          </w:p>
        </w:tc>
        <w:tc>
          <w:tcPr>
            <w:tcW w:w="16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65,648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$ 6,505,451</w:t>
            </w:r>
          </w:p>
        </w:tc>
        <w:tc>
          <w:tcPr>
            <w:tcW w:w="1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$ 4,525,322</w:t>
            </w:r>
          </w:p>
        </w:tc>
        <w:tc>
          <w:tcPr>
            <w:tcW w:w="16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$ 1,980,129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totaled approximately $4,019,000 for the three months ended March 31, 2007, compared with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$2,692,000 for the same period in 2006. The increase of $1,327,000, or approximately 49%, from 2006 to 2007 was primarily attributable to expansion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cell processing and clinical development, which consisted of an increase in personnel costs of approximately $353,000 and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services and clinical study costs of approximately $747,000 with the remainder due to increases in supplies, rent and other operating expenses.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2007, we had 36 full-time employees working in research and development and laboratory support services as compared to 33 at March 31, 2006.</w:t>
      </w:r>
    </w:p>
    <w:p>
      <w:pPr>
        <w:spacing w:after="0" w:line="99"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approximately $2,265,000 for the three months ended March 31, 2007, compared with approximately $1,677,000 for the same period in 2006. The increase of $587,000, or approximately 35%, from 2006 to 2007 was primarily attributable to an increase in personnel costs of approximately $309,000, of which approximately $283,000 was attributable to an increase in stock based compensation expense for grant of stock options and stock appreciation rights. The increase was also attributable to an increase in external services of $271,000 primarily for legal and recruiting fees with the remainder due to a net increase in other operating expenses.</w:t>
      </w:r>
    </w:p>
    <w:p>
      <w:pPr>
        <w:spacing w:after="0" w:line="76"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2006, the reserve was approximately $5,512,000. For the three months ended March 31, 2007, expenses of $381,000 net of subtenant income were recorded against this reserve (See Note 4). At March 31, 2007, we re-evaluated the estimate and adjusted the reserve to approximately $5,353,000 by recording an additional $222,000 as wind-down expenses. Wind-down expenses recorded against the reserve for the same period in 2006 were approximately $284,000 and additional expenses recorded to adjust the reserve were approximately $156,000.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for the three-month period ended March 31, 2007, as compared with the same period in 2006,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2007</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2006</w:t>
            </w:r>
          </w:p>
        </w:tc>
        <w:tc>
          <w:tcPr>
            <w:tcW w:w="3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jc w:val="right"/>
              <w:ind w:right="433"/>
              <w:spacing w:after="0"/>
              <w:rPr>
                <w:sz w:val="20"/>
                <w:szCs w:val="20"/>
                <w:color w:val="auto"/>
              </w:rPr>
            </w:pPr>
            <w:r>
              <w:rPr>
                <w:rFonts w:ascii="Times New Roman" w:cs="Times New Roman" w:eastAsia="Times New Roman" w:hAnsi="Times New Roman"/>
                <w:sz w:val="14"/>
                <w:szCs w:val="14"/>
                <w:color w:val="auto"/>
              </w:rPr>
              <w:t>Change from previous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License and settlement agreement, net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550,467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  550,467</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717,621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717,621</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653,606</w:t>
            </w:r>
          </w:p>
        </w:tc>
        <w:tc>
          <w:tcPr>
            <w:tcW w:w="380" w:type="dxa"/>
            <w:vAlign w:val="bottom"/>
          </w:tcPr>
          <w:p>
            <w:pPr>
              <w:spacing w:after="0"/>
              <w:rPr>
                <w:sz w:val="18"/>
                <w:szCs w:val="18"/>
                <w:color w:val="auto"/>
              </w:rPr>
            </w:pP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9"/>
              </w:rPr>
              <w:t>339,814</w:t>
            </w:r>
          </w:p>
        </w:tc>
        <w:tc>
          <w:tcPr>
            <w:tcW w:w="16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313,792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(33,317)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(38,593)</w:t>
            </w:r>
          </w:p>
        </w:tc>
        <w:tc>
          <w:tcPr>
            <w:tcW w:w="160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5,276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(8,624)</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(10,575)</w:t>
            </w:r>
          </w:p>
        </w:tc>
        <w:tc>
          <w:tcPr>
            <w:tcW w:w="160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1,951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99"/>
              </w:rPr>
              <w:t>1,879,753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99"/>
              </w:rPr>
              <w:t>290,646</w:t>
            </w:r>
          </w:p>
        </w:tc>
        <w:tc>
          <w:tcPr>
            <w:tcW w:w="160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$ 1,589,107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Percentage change cannot be calculated</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Income under licenses and settlement agreement were for the value of additional shares received from ReNeuron (See Note 2). As a consequence of the anti-dilution provisions included in the agreement between StemCells and ReNeuron, StemCells was entitled to approximately 822,000 shares net of approximately 12,000 shares to be transferred to Neurosphere. The Company recorded approximately $550,000 as other income for the fair value of the additional shares received.</w:t>
      </w:r>
    </w:p>
    <w:p>
      <w:pPr>
        <w:spacing w:after="0" w:line="72"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31, 2007 and 2006 was approximately $654,000 and $340,000, respectively. The increase in interest income in 2007 was primarily attributable to a higher yield on a higher investment balance.</w:t>
      </w:r>
    </w:p>
    <w:p>
      <w:pPr>
        <w:spacing w:after="0" w:line="54"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March 31, 2007 and 2006 was approximately $33,000 and $39,000 respectively. The decrease in interest expense in 2007 was attributable to lower outstanding debt and capital lease balances in 2007 compared to 2006. Other income (expense) comprises primarily of state franchise tax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54" w:lineRule="exact"/>
        <w:rPr>
          <w:sz w:val="20"/>
          <w:szCs w:val="20"/>
          <w:color w:val="auto"/>
        </w:rPr>
      </w:pPr>
    </w:p>
    <w:p>
      <w:pPr>
        <w:ind w:right="60" w:firstLine="447"/>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totaling $50,921,611 at March 31, 2007. Cash equivalents are invested in US Treasury debt securities with maturities of less than 90 days. The table below summarizes our cash flows for the respective three-month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2007</w:t>
            </w:r>
          </w:p>
        </w:tc>
        <w:tc>
          <w:tcPr>
            <w:tcW w:w="18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rPr>
              <w:t>2006</w:t>
            </w: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Change from previous year</w:t>
            </w:r>
          </w:p>
        </w:tc>
      </w:tr>
      <w:tr>
        <w:trPr>
          <w:trHeight w:val="142"/>
        </w:trPr>
        <w:tc>
          <w:tcPr>
            <w:tcW w:w="5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$( 5,252,048)</w:t>
            </w:r>
          </w:p>
        </w:tc>
        <w:tc>
          <w:tcPr>
            <w:tcW w:w="1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$( 4,263,065)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988,983)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2,951,785</w:t>
            </w:r>
          </w:p>
        </w:tc>
        <w:tc>
          <w:tcPr>
            <w:tcW w:w="184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(211,531)</w:t>
            </w:r>
          </w:p>
        </w:tc>
        <w:tc>
          <w:tcPr>
            <w:tcW w:w="180" w:type="dxa"/>
            <w:vAlign w:val="bottom"/>
          </w:tcPr>
          <w:p>
            <w:pPr>
              <w:spacing w:after="0"/>
              <w:rPr>
                <w:sz w:val="18"/>
                <w:szCs w:val="18"/>
                <w:color w:val="auto"/>
              </w:rPr>
            </w:pPr>
          </w:p>
        </w:tc>
        <w:tc>
          <w:tcPr>
            <w:tcW w:w="13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99"/>
              </w:rPr>
              <w:t>3,163,316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1,426,345</w:t>
            </w:r>
          </w:p>
        </w:tc>
        <w:tc>
          <w:tcPr>
            <w:tcW w:w="18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809,562</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616,783</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  873,918)</w:t>
            </w:r>
          </w:p>
        </w:tc>
        <w:tc>
          <w:tcPr>
            <w:tcW w:w="184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$( 3,665,034)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99"/>
              </w:rPr>
              <w:t>2,791,116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80" w:firstLine="447"/>
        <w:spacing w:after="0" w:line="261" w:lineRule="auto"/>
        <w:rPr>
          <w:sz w:val="20"/>
          <w:szCs w:val="20"/>
          <w:color w:val="auto"/>
        </w:rPr>
      </w:pPr>
      <w:r>
        <w:rPr>
          <w:rFonts w:ascii="Times New Roman" w:cs="Times New Roman" w:eastAsia="Times New Roman" w:hAnsi="Times New Roman"/>
          <w:sz w:val="18"/>
          <w:szCs w:val="18"/>
          <w:color w:val="auto"/>
        </w:rPr>
        <w:t>The increase from 2006 to 2007 of approximately $989,000, or 23%, in cash used in operating activities was primarily attributable to the increase in personnel costs and external services due to the expansion of our cell manufacturing process and the costs incurred in our clinical study. The increase from 2006 to 2007 of approximately $3,163,000, or 1,495%, for cash provided by investing activities was primarily attributable to the sale of approximately 5,275,000 ordinary shares of ReNeuron (See Note 2) held as marketable securities for net proceeds of approximately $3,077,000</w:t>
      </w:r>
    </w:p>
    <w:p>
      <w:pPr>
        <w:spacing w:after="0" w:line="72" w:lineRule="exact"/>
        <w:rPr>
          <w:sz w:val="20"/>
          <w:szCs w:val="20"/>
          <w:color w:val="auto"/>
        </w:rPr>
      </w:pPr>
    </w:p>
    <w:p>
      <w:pPr>
        <w:ind w:right="360" w:firstLine="447"/>
        <w:spacing w:after="0" w:line="266" w:lineRule="auto"/>
        <w:rPr>
          <w:sz w:val="20"/>
          <w:szCs w:val="20"/>
          <w:color w:val="auto"/>
        </w:rPr>
      </w:pPr>
      <w:r>
        <w:rPr>
          <w:rFonts w:ascii="Times New Roman" w:cs="Times New Roman" w:eastAsia="Times New Roman" w:hAnsi="Times New Roman"/>
          <w:sz w:val="18"/>
          <w:szCs w:val="18"/>
          <w:color w:val="auto"/>
        </w:rPr>
        <w:t>The increase from 2006 to 2007 of approximately $617,000 for net cash provided by financing activities was primarily attributable to the sale of approximately 397,000 of our shares at an average price of $3.51 per share for net proceeds of approximately $1,325,000. These shares were sold under a sales agreement with Cantor (See Note 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financing arrangements in the previous three years include the following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right="160" w:hanging="436"/>
        <w:spacing w:after="0" w:line="26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 We received total proceeds, net of offering expenses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placement agency fees, of approximately $33,422,000. No warrants were issued as part of this financing transaction.</w:t>
      </w:r>
    </w:p>
    <w:p>
      <w:pPr>
        <w:spacing w:after="0" w:line="131" w:lineRule="exact"/>
        <w:rPr>
          <w:sz w:val="20"/>
          <w:szCs w:val="20"/>
          <w:color w:val="auto"/>
        </w:rPr>
      </w:pPr>
    </w:p>
    <w:p>
      <w:pPr>
        <w:ind w:left="660" w:right="300" w:hanging="436"/>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2005, an aggregate of 2,958,348 warrants were exercised. For the exercise of these warrants, we issued 2,842,625 shares of our common stock and received proceeds of approximately $5,939,000.</w:t>
      </w:r>
    </w:p>
    <w:p>
      <w:pPr>
        <w:spacing w:after="0" w:line="67" w:lineRule="exact"/>
        <w:rPr>
          <w:rFonts w:ascii="Times New Roman" w:cs="Times New Roman" w:eastAsia="Times New Roman" w:hAnsi="Times New Roman"/>
          <w:sz w:val="18"/>
          <w:szCs w:val="18"/>
          <w:b w:val="1"/>
          <w:bCs w:val="1"/>
          <w:color w:val="auto"/>
        </w:rPr>
      </w:pPr>
    </w:p>
    <w:p>
      <w:pPr>
        <w:ind w:left="660" w:right="40" w:hanging="436"/>
        <w:spacing w:after="0" w:line="25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26, 2004, we entered into an agreement with institutional investors with respect to the registered direct placement of 7,500,000 shares of our common stock at a purchase price of $3.00 per share, for gross proceeds of $22,500,000. C.E. Unterberg, Towbin LLC (Unterberg) and Shoreline Pacific, LLC (Shoreline) served as placement agents for the transaction. We sold these shares under a shelf registration statement previously filed with and declared effective by the SEC. For acting as our placement agent Unterberg and Shoreline received fees of approximately $1,350,000 and expense reimbursement of approximately $40,000. No warrants were issued as part of this financing transaction.</w:t>
      </w:r>
    </w:p>
    <w:p>
      <w:pPr>
        <w:spacing w:after="0" w:line="89" w:lineRule="exact"/>
        <w:rPr>
          <w:rFonts w:ascii="Times New Roman" w:cs="Times New Roman" w:eastAsia="Times New Roman" w:hAnsi="Times New Roman"/>
          <w:sz w:val="18"/>
          <w:szCs w:val="18"/>
          <w:b w:val="1"/>
          <w:bCs w:val="1"/>
          <w:color w:val="auto"/>
        </w:rPr>
      </w:pPr>
    </w:p>
    <w:p>
      <w:pPr>
        <w:ind w:left="660" w:right="260" w:hanging="436"/>
        <w:spacing w:after="0" w:line="25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Contractual Cash Obligations</w:t>
      </w:r>
    </w:p>
    <w:p>
      <w:pPr>
        <w:spacing w:after="0" w:line="121" w:lineRule="exact"/>
        <w:rPr>
          <w:sz w:val="20"/>
          <w:szCs w:val="20"/>
          <w:color w:val="auto"/>
        </w:rPr>
      </w:pPr>
    </w:p>
    <w:p>
      <w:pPr>
        <w:ind w:right="100" w:firstLine="447"/>
        <w:spacing w:after="0" w:line="261" w:lineRule="auto"/>
        <w:rPr>
          <w:sz w:val="20"/>
          <w:szCs w:val="20"/>
          <w:color w:val="auto"/>
        </w:rPr>
      </w:pPr>
      <w:r>
        <w:rPr>
          <w:rFonts w:ascii="Times New Roman" w:cs="Times New Roman" w:eastAsia="Times New Roman" w:hAnsi="Times New Roman"/>
          <w:sz w:val="18"/>
          <w:szCs w:val="18"/>
          <w:color w:val="auto"/>
        </w:rPr>
        <w:t>We continue to have outstanding obligations in regard to our former facilities in Lincoln, Rhode Island, and expect to pay in 2007, based on past experience and current assumptions, approximately $1,300,000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72" w:lineRule="exact"/>
        <w:rPr>
          <w:sz w:val="20"/>
          <w:szCs w:val="20"/>
          <w:color w:val="auto"/>
        </w:rPr>
      </w:pPr>
    </w:p>
    <w:p>
      <w:pPr>
        <w:ind w:right="480" w:firstLine="447"/>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contractual cash obligations (including both Rhode Island and California leases, but excluding interest income and sub-lease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center"/>
              <w:ind w:right="240"/>
              <w:spacing w:after="0"/>
              <w:rPr>
                <w:sz w:val="20"/>
                <w:szCs w:val="20"/>
                <w:color w:val="auto"/>
              </w:rPr>
            </w:pPr>
            <w:r>
              <w:rPr>
                <w:rFonts w:ascii="Times New Roman" w:cs="Times New Roman" w:eastAsia="Times New Roman" w:hAnsi="Times New Roman"/>
                <w:sz w:val="14"/>
                <w:szCs w:val="14"/>
                <w:color w:val="auto"/>
              </w:rPr>
              <w:t>Payable</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color w:val="auto"/>
              </w:rPr>
              <w:t>Payable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April to</w:t>
            </w:r>
          </w:p>
        </w:tc>
        <w:tc>
          <w:tcPr>
            <w:tcW w:w="340" w:type="dxa"/>
            <w:vAlign w:val="bottom"/>
          </w:tcPr>
          <w:p>
            <w:pPr>
              <w:spacing w:after="0"/>
              <w:rPr>
                <w:sz w:val="12"/>
                <w:szCs w:val="12"/>
                <w:color w:val="auto"/>
              </w:rPr>
            </w:pPr>
          </w:p>
        </w:tc>
        <w:tc>
          <w:tcPr>
            <w:tcW w:w="9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color w:val="auto"/>
              </w:rPr>
              <w:t>Payable in</w:t>
            </w:r>
          </w:p>
        </w:tc>
        <w:tc>
          <w:tcPr>
            <w:tcW w:w="340" w:type="dxa"/>
            <w:vAlign w:val="bottom"/>
          </w:tcPr>
          <w:p>
            <w:pPr>
              <w:spacing w:after="0"/>
              <w:rPr>
                <w:sz w:val="12"/>
                <w:szCs w:val="12"/>
                <w:color w:val="auto"/>
              </w:rPr>
            </w:pPr>
          </w:p>
        </w:tc>
        <w:tc>
          <w:tcPr>
            <w:tcW w:w="9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color w:val="auto"/>
              </w:rPr>
              <w:t>Payable in</w:t>
            </w:r>
          </w:p>
        </w:tc>
        <w:tc>
          <w:tcPr>
            <w:tcW w:w="340" w:type="dxa"/>
            <w:vAlign w:val="bottom"/>
          </w:tcPr>
          <w:p>
            <w:pPr>
              <w:spacing w:after="0"/>
              <w:rPr>
                <w:sz w:val="12"/>
                <w:szCs w:val="12"/>
                <w:color w:val="auto"/>
              </w:rPr>
            </w:pPr>
          </w:p>
        </w:tc>
        <w:tc>
          <w:tcPr>
            <w:tcW w:w="9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color w:val="auto"/>
              </w:rPr>
              <w:t>Payable in</w:t>
            </w:r>
          </w:p>
        </w:tc>
        <w:tc>
          <w:tcPr>
            <w:tcW w:w="340" w:type="dxa"/>
            <w:vAlign w:val="bottom"/>
          </w:tcPr>
          <w:p>
            <w:pPr>
              <w:spacing w:after="0"/>
              <w:rPr>
                <w:sz w:val="12"/>
                <w:szCs w:val="12"/>
                <w:color w:val="auto"/>
              </w:rPr>
            </w:pPr>
          </w:p>
        </w:tc>
        <w:tc>
          <w:tcPr>
            <w:tcW w:w="9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color w:val="auto"/>
              </w:rPr>
              <w:t>Payable in</w:t>
            </w:r>
          </w:p>
        </w:tc>
        <w:tc>
          <w:tcPr>
            <w:tcW w:w="3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12"/>
                <w:szCs w:val="12"/>
                <w:color w:val="auto"/>
              </w:rPr>
            </w:pPr>
          </w:p>
        </w:tc>
        <w:tc>
          <w:tcPr>
            <w:tcW w:w="980" w:type="dxa"/>
            <w:vAlign w:val="bottom"/>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December</w:t>
            </w: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color w:val="auto"/>
              </w:rPr>
              <w:t>2012 and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color w:val="auto"/>
                <w:w w:val="99"/>
              </w:rPr>
              <w:t>2007</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2008</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2009</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2010</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color w:val="auto"/>
              </w:rPr>
              <w:t>beyond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payments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1,822,584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233,490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244,531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244,572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242,560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242,321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615,110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payments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98"/>
              </w:rPr>
              <w:t>14,235,770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8"/>
                <w:szCs w:val="18"/>
                <w:color w:val="auto"/>
                <w:w w:val="99"/>
              </w:rPr>
              <w:t>2,386,434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99"/>
              </w:rPr>
              <w:t>3,469,017</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w w:val="99"/>
              </w:rPr>
              <w:t>3,536,843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99"/>
              </w:rPr>
              <w:t>1,767,304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w w:val="99"/>
              </w:rPr>
              <w:t>1,171,875</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99"/>
              </w:rPr>
              <w:t>1,904,297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contractual cash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98"/>
              </w:rPr>
              <w:t>16,058,354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2,619,924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99"/>
              </w:rPr>
              <w:t>3,713,548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99"/>
              </w:rPr>
              <w:t>3,781,415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99"/>
              </w:rPr>
              <w:t>2,009,864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99"/>
              </w:rPr>
              <w:t>1,414,196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9"/>
              </w:rPr>
              <w:t>2,519,407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40" w:firstLine="222"/>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offerings, proceeds from the transfer or sale of our intellectual property rights, equipment, facilities or investments, and government grants and funding from collaborative arrangements, if obtainable, to fund our operations.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intend to pursue opportunities to obtain additional financing in the future through equity and debt financings, grants and collaborative research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We have a shelf registration statement which, as of April 30, 2007, covered shares of our common stock up to a value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$61million that could be available for financings. On December 29, 2006, we filed a Prospectus Supplement announcing the entry of a sales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 under which up to 10,000,000 shares may be sold from time to time under the shelf registration statement. As of April 30, 2007,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1,217,000 of these shares for gross proceeds of approximately $3,805,000. The source, timing and availability of any future financing will depend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principally upon market conditions, interest rates and, more specifically, on our progress in our exploratory, preclinical and future clinical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Funding may not be available when needed—at all, or on terms acceptable to us. Lack of necessary funds may require us to delay, scale back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some or all of our research and product development programs, planned clinical trials, and/or our capital expenditures, or to license our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or technologies to third parties.</w:t>
      </w:r>
    </w:p>
    <w:p>
      <w:pPr>
        <w:spacing w:after="0" w:line="99" w:lineRule="exact"/>
        <w:rPr>
          <w:sz w:val="20"/>
          <w:szCs w:val="20"/>
          <w:color w:val="auto"/>
        </w:rPr>
      </w:pPr>
    </w:p>
    <w:p>
      <w:pPr>
        <w:ind w:firstLine="447"/>
        <w:spacing w:after="0" w:line="282" w:lineRule="auto"/>
        <w:rPr>
          <w:sz w:val="20"/>
          <w:szCs w:val="20"/>
          <w:color w:val="auto"/>
        </w:rPr>
      </w:pPr>
      <w:r>
        <w:rPr>
          <w:rFonts w:ascii="Times New Roman" w:cs="Times New Roman" w:eastAsia="Times New Roman" w:hAnsi="Times New Roman"/>
          <w:sz w:val="18"/>
          <w:szCs w:val="18"/>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An amendment to the agreement was entered on April 3, 2006, a copy of which was attached as Exhibit 10.1 to the Company’s Quarterly Report on Form 10-Q for the quarter ended March 31, 2006. As of December 31, 2006, the Company held 9,274,837 shares of ReNeuron common stock with fair value of approximately $7,266,000. In February 2007, the Company sold approximately 5,275,000 ordinary shares of ReNeuron for net proceeds of approximately $3,077,000. The Company recorded approximately $718,000 as realized gain for this transaction. In February 2007, ReNeuron issued additional shares of common stock as a consequence of certain anti-dilution provisions in the agreement. StemCells was entitled to approximately 822,000 shares net of approximately 12,000 shares to be transferred to Neurosphere. The Company recorded approximately $550,000 as other income for the fair value of the additional shares received. As of March 31, 2007, the Company owned approximately 4,822,000 ordinary shares of ReNeuron with a fair market value of approximately $2,606,000.</w:t>
      </w:r>
    </w:p>
    <w:p>
      <w:pPr>
        <w:spacing w:after="0" w:line="89"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The unrealized gain as of March 31, 2007 is approximately $336,000. A decline in the fair value of securities that is deemed other than temporary would be charged to earnings.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Expected</w:t>
            </w: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 price at</w:t>
            </w:r>
          </w:p>
        </w:tc>
        <w:tc>
          <w:tcPr>
            <w:tcW w:w="166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Exchange Rate at</w:t>
            </w:r>
          </w:p>
        </w:tc>
        <w:tc>
          <w:tcPr>
            <w:tcW w:w="134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in</w:t>
            </w: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Future</w:t>
            </w: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Company/Stock</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No. of Shares at</w:t>
            </w:r>
          </w:p>
        </w:tc>
        <w:tc>
          <w:tcPr>
            <w:tcW w:w="13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March 31, 2007</w:t>
            </w:r>
          </w:p>
        </w:tc>
        <w:tc>
          <w:tcPr>
            <w:tcW w:w="240" w:type="dxa"/>
            <w:vAlign w:val="bottom"/>
          </w:tcPr>
          <w:p>
            <w:pPr>
              <w:spacing w:after="0"/>
              <w:rPr>
                <w:sz w:val="11"/>
                <w:szCs w:val="11"/>
                <w:color w:val="auto"/>
              </w:rPr>
            </w:pPr>
          </w:p>
        </w:tc>
        <w:tc>
          <w:tcPr>
            <w:tcW w:w="14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March 31, 2007</w:t>
            </w:r>
          </w:p>
        </w:tc>
        <w:tc>
          <w:tcPr>
            <w:tcW w:w="1340" w:type="dxa"/>
            <w:vAlign w:val="bottom"/>
            <w:gridSpan w:val="3"/>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USD at March</w:t>
            </w: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Cash</w:t>
            </w:r>
          </w:p>
        </w:tc>
      </w:tr>
      <w:tr>
        <w:trPr>
          <w:trHeight w:val="155"/>
        </w:trPr>
        <w:tc>
          <w:tcPr>
            <w:tcW w:w="20" w:type="dxa"/>
            <w:vAlign w:val="bottom"/>
          </w:tcPr>
          <w:p>
            <w:pPr>
              <w:spacing w:after="0"/>
              <w:rPr>
                <w:sz w:val="13"/>
                <w:szCs w:val="13"/>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36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38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Associated Risks</w:t>
            </w:r>
          </w:p>
        </w:tc>
        <w:tc>
          <w:tcPr>
            <w:tcW w:w="3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March 31, 2007</w:t>
            </w:r>
          </w:p>
        </w:tc>
        <w:tc>
          <w:tcPr>
            <w:tcW w:w="2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in GBP (£)</w:t>
            </w:r>
          </w:p>
        </w:tc>
        <w:tc>
          <w:tcPr>
            <w:tcW w:w="24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1 GBP = USD</w:t>
            </w:r>
          </w:p>
        </w:tc>
        <w:tc>
          <w:tcPr>
            <w:tcW w:w="140" w:type="dxa"/>
            <w:vAlign w:val="bottom"/>
          </w:tcPr>
          <w:p>
            <w:pPr>
              <w:spacing w:after="0"/>
              <w:rPr>
                <w:sz w:val="13"/>
                <w:szCs w:val="13"/>
                <w:color w:val="auto"/>
              </w:rPr>
            </w:pPr>
          </w:p>
        </w:tc>
        <w:tc>
          <w:tcPr>
            <w:tcW w:w="7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31, 2007</w:t>
            </w:r>
          </w:p>
        </w:tc>
        <w:tc>
          <w:tcPr>
            <w:tcW w:w="480" w:type="dxa"/>
            <w:vAlign w:val="bottom"/>
          </w:tcPr>
          <w:p>
            <w:pPr>
              <w:spacing w:after="0"/>
              <w:rPr>
                <w:sz w:val="13"/>
                <w:szCs w:val="13"/>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2"/>
              </w:rPr>
              <w:t>Flows</w:t>
            </w:r>
          </w:p>
        </w:tc>
      </w:tr>
      <w:tr>
        <w:trPr>
          <w:trHeight w:val="110"/>
        </w:trPr>
        <w:tc>
          <w:tcPr>
            <w:tcW w:w="20" w:type="dxa"/>
            <w:vAlign w:val="bottom"/>
          </w:tcPr>
          <w:p>
            <w:pPr>
              <w:spacing w:after="0"/>
              <w:rPr>
                <w:sz w:val="9"/>
                <w:szCs w:val="9"/>
                <w:color w:val="auto"/>
              </w:rPr>
            </w:pPr>
          </w:p>
        </w:tc>
        <w:tc>
          <w:tcPr>
            <w:tcW w:w="226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ReNeuron Group</w:t>
            </w:r>
          </w:p>
        </w:tc>
        <w:tc>
          <w:tcPr>
            <w:tcW w:w="360" w:type="dxa"/>
            <w:vAlign w:val="bottom"/>
          </w:tcPr>
          <w:p>
            <w:pPr>
              <w:spacing w:after="0"/>
              <w:rPr>
                <w:sz w:val="9"/>
                <w:szCs w:val="9"/>
                <w:color w:val="auto"/>
              </w:rPr>
            </w:pPr>
          </w:p>
        </w:tc>
        <w:tc>
          <w:tcPr>
            <w:tcW w:w="86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AIM (AIM is the</w:t>
            </w:r>
          </w:p>
        </w:tc>
        <w:tc>
          <w:tcPr>
            <w:tcW w:w="380" w:type="dxa"/>
            <w:vAlign w:val="bottom"/>
          </w:tcPr>
          <w:p>
            <w:pPr>
              <w:spacing w:after="0"/>
              <w:rPr>
                <w:sz w:val="9"/>
                <w:szCs w:val="9"/>
                <w:color w:val="auto"/>
              </w:rPr>
            </w:pPr>
          </w:p>
        </w:tc>
        <w:tc>
          <w:tcPr>
            <w:tcW w:w="98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 Lower share price</w:t>
            </w:r>
          </w:p>
        </w:tc>
        <w:tc>
          <w:tcPr>
            <w:tcW w:w="3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plc/RENE</w:t>
            </w:r>
          </w:p>
        </w:tc>
        <w:tc>
          <w:tcPr>
            <w:tcW w:w="3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London Stock</w:t>
            </w:r>
          </w:p>
        </w:tc>
        <w:tc>
          <w:tcPr>
            <w:tcW w:w="13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w w:val="99"/>
              </w:rPr>
              <w:t>- Foreign currency</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Exchange’s</w:t>
            </w:r>
          </w:p>
        </w:tc>
        <w:tc>
          <w:tcPr>
            <w:tcW w:w="380" w:type="dxa"/>
            <w:vAlign w:val="bottom"/>
          </w:tcPr>
          <w:p>
            <w:pPr>
              <w:spacing w:after="0"/>
              <w:rPr>
                <w:sz w:val="11"/>
                <w:szCs w:val="11"/>
                <w:color w:val="auto"/>
              </w:rPr>
            </w:pPr>
          </w:p>
        </w:tc>
        <w:tc>
          <w:tcPr>
            <w:tcW w:w="9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Alternative</w:t>
            </w:r>
          </w:p>
        </w:tc>
        <w:tc>
          <w:tcPr>
            <w:tcW w:w="13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 Liquidity</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w:t>
            </w:r>
          </w:p>
        </w:tc>
        <w:tc>
          <w:tcPr>
            <w:tcW w:w="13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 Bankruptcy</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4,821,924</w:t>
            </w:r>
          </w:p>
        </w:tc>
        <w:tc>
          <w:tcPr>
            <w:tcW w:w="132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0.2745</w:t>
            </w:r>
          </w:p>
        </w:tc>
        <w:tc>
          <w:tcPr>
            <w:tcW w:w="1660" w:type="dxa"/>
            <w:vAlign w:val="bottom"/>
            <w:gridSpan w:val="3"/>
          </w:tcPr>
          <w:p>
            <w:pPr>
              <w:jc w:val="right"/>
              <w:ind w:right="500"/>
              <w:spacing w:after="0" w:line="135" w:lineRule="exact"/>
              <w:rPr>
                <w:sz w:val="20"/>
                <w:szCs w:val="20"/>
                <w:color w:val="auto"/>
              </w:rPr>
            </w:pPr>
            <w:r>
              <w:rPr>
                <w:rFonts w:ascii="Times New Roman" w:cs="Times New Roman" w:eastAsia="Times New Roman" w:hAnsi="Times New Roman"/>
                <w:sz w:val="13"/>
                <w:szCs w:val="13"/>
                <w:color w:val="auto"/>
              </w:rPr>
              <w:t>1.9685</w:t>
            </w: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2,605,542</w:t>
            </w:r>
          </w:p>
        </w:tc>
        <w:tc>
          <w:tcPr>
            <w:tcW w:w="48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r>
      <w:tr>
        <w:trPr>
          <w:trHeight w:val="164"/>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Market)</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8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our intention to liquidate this investment when we can do so at prices acceptable to us. Although we are not legally restricted from selling the stock, the share price is subject to change and the volume traded has often been very small since the stock was listed on the AIM on August 12, 2005. The performance of ReNeuron Group plc stock since its listing does not predict its future value.</w:t>
      </w:r>
    </w:p>
    <w:p>
      <w:pPr>
        <w:spacing w:after="0" w:line="68"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Other than the above, no significant changes have occurred in our quantitative and qualitative information about market risks disclosed in our Annual Report on Form 10-K for the fiscal year ending December 31, 2006.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right="300" w:firstLine="450"/>
        <w:spacing w:after="0" w:line="266" w:lineRule="auto"/>
        <w:rPr>
          <w:sz w:val="20"/>
          <w:szCs w:val="20"/>
          <w:color w:val="auto"/>
        </w:rPr>
      </w:pPr>
      <w:r>
        <w:rPr>
          <w:rFonts w:ascii="Times New Roman" w:cs="Times New Roman" w:eastAsia="Times New Roman" w:hAnsi="Times New Roman"/>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57"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July, 2006, we filed suit against Neuralstem, Inc., in the Federal District Court for the District of Maryland, alleging that its activities violate claims in four of our patents. Neuralstem has filed a motion for dismissal or summary judgment, citing Title 35, Section 271(e)(1) of the United States Code, which says that it is not an act of patent infringement to make, use or sell a patented invention “solely for uses reasonably related to the development and submission of information” to the FDA. Neuralstem argues that since it does not have any therapeutic products on the market yet, the activities complained of fall within the protection of Section 271(e)(1) — that is, basically, that the suit is premature. This issue will be decided after discovery is complete.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ind w:right="160" w:firstLine="447"/>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1, Item 1A, of our Annual Report on Form 10-K for the fiscal year ending December 31, 2006.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SUBMISSION OF MATTERS TO A VOTE OF SECURITY HOLDERS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7" w:lineRule="exact"/>
        <w:rPr>
          <w:sz w:val="20"/>
          <w:szCs w:val="20"/>
          <w:color w:val="auto"/>
        </w:rPr>
      </w:pPr>
    </w:p>
    <w:p>
      <w:pPr>
        <w:ind w:right="660" w:firstLine="447"/>
        <w:spacing w:after="0" w:line="282" w:lineRule="auto"/>
        <w:rPr>
          <w:sz w:val="20"/>
          <w:szCs w:val="20"/>
          <w:color w:val="auto"/>
        </w:rPr>
      </w:pPr>
      <w:r>
        <w:rPr>
          <w:rFonts w:ascii="Times New Roman" w:cs="Times New Roman" w:eastAsia="Times New Roman" w:hAnsi="Times New Roman"/>
          <w:sz w:val="18"/>
          <w:szCs w:val="18"/>
          <w:color w:val="auto"/>
        </w:rPr>
        <w:t>There were no matters required to be disclosed in a current report on Form 8-K during the fiscal quarter covered by this report that were not so disclosed.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3" w:lineRule="exact"/>
        <w:rPr>
          <w:sz w:val="20"/>
          <w:szCs w:val="20"/>
          <w:color w:val="auto"/>
        </w:rPr>
      </w:pPr>
    </w:p>
    <w:p>
      <w:pPr>
        <w:ind w:right="3620"/>
        <w:spacing w:after="0" w:line="397" w:lineRule="auto"/>
        <w:rPr>
          <w:sz w:val="20"/>
          <w:szCs w:val="20"/>
          <w:color w:val="auto"/>
        </w:rPr>
      </w:pPr>
      <w:r>
        <w:rPr>
          <w:rFonts w:ascii="Times New Roman" w:cs="Times New Roman" w:eastAsia="Times New Roman" w:hAnsi="Times New Roman"/>
          <w:sz w:val="17"/>
          <w:szCs w:val="17"/>
          <w:b w:val="1"/>
          <w:bCs w:val="1"/>
          <w:color w:val="auto"/>
        </w:rPr>
        <w:t xml:space="preserve">Exhibit 31.1 — </w:t>
      </w:r>
      <w:r>
        <w:rPr>
          <w:rFonts w:ascii="Times New Roman" w:cs="Times New Roman" w:eastAsia="Times New Roman" w:hAnsi="Times New Roman"/>
          <w:sz w:val="17"/>
          <w:szCs w:val="17"/>
          <w:color w:val="auto"/>
        </w:rPr>
        <w:t>Certification of Martin McGlynn under Section 302 of the Sarbanes-Oxley Act of 2002</w:t>
      </w:r>
      <w:r>
        <w:rPr>
          <w:rFonts w:ascii="Times New Roman" w:cs="Times New Roman" w:eastAsia="Times New Roman" w:hAnsi="Times New Roman"/>
          <w:sz w:val="17"/>
          <w:szCs w:val="17"/>
          <w:b w:val="1"/>
          <w:bCs w:val="1"/>
          <w:color w:val="auto"/>
        </w:rPr>
        <w:t xml:space="preserve"> Exhibit 31.2 — </w:t>
      </w:r>
      <w:r>
        <w:rPr>
          <w:rFonts w:ascii="Times New Roman" w:cs="Times New Roman" w:eastAsia="Times New Roman" w:hAnsi="Times New Roman"/>
          <w:sz w:val="17"/>
          <w:szCs w:val="17"/>
          <w:color w:val="auto"/>
        </w:rPr>
        <w:t>Certification of Rodney K. B. Young under Section 302 of the Sarbanes-Oxley Act of 2002</w:t>
      </w:r>
    </w:p>
    <w:p>
      <w:pPr>
        <w:spacing w:after="0" w:line="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32.1 — </w:t>
      </w:r>
      <w:r>
        <w:rPr>
          <w:rFonts w:ascii="Times New Roman" w:cs="Times New Roman" w:eastAsia="Times New Roman" w:hAnsi="Times New Roman"/>
          <w:sz w:val="18"/>
          <w:szCs w:val="18"/>
          <w:color w:val="auto"/>
        </w:rPr>
        <w:t>Certification of Martin McGlynn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pacing w:after="0" w:line="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32.2 — </w:t>
      </w:r>
      <w:r>
        <w:rPr>
          <w:rFonts w:ascii="Times New Roman" w:cs="Times New Roman" w:eastAsia="Times New Roman" w:hAnsi="Times New Roman"/>
          <w:sz w:val="18"/>
          <w:szCs w:val="18"/>
          <w:color w:val="auto"/>
        </w:rPr>
        <w:t>Certification of Rodney K. B. Young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STEMCELLS, INC.</w:t>
            </w:r>
          </w:p>
        </w:tc>
        <w:tc>
          <w:tcPr>
            <w:tcW w:w="170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5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Registrant)</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May 3, 2007</w:t>
            </w: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Rodney K. B. Young</w:t>
            </w:r>
          </w:p>
        </w:tc>
        <w:tc>
          <w:tcPr>
            <w:tcW w:w="1700" w:type="dxa"/>
            <w:vAlign w:val="bottom"/>
          </w:tcPr>
          <w:p>
            <w:pPr>
              <w:spacing w:after="0"/>
              <w:rPr>
                <w:sz w:val="24"/>
                <w:szCs w:val="24"/>
                <w:color w:val="auto"/>
              </w:rPr>
            </w:pPr>
          </w:p>
        </w:tc>
      </w:tr>
      <w:tr>
        <w:trPr>
          <w:trHeight w:val="191"/>
        </w:trPr>
        <w:tc>
          <w:tcPr>
            <w:tcW w:w="550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Rodney K. B. Young</w:t>
            </w:r>
          </w:p>
        </w:tc>
        <w:tc>
          <w:tcPr>
            <w:tcW w:w="1700" w:type="dxa"/>
            <w:vAlign w:val="bottom"/>
          </w:tcPr>
          <w:p>
            <w:pPr>
              <w:spacing w:after="0"/>
              <w:rPr>
                <w:sz w:val="16"/>
                <w:szCs w:val="16"/>
                <w:color w:val="auto"/>
              </w:rPr>
            </w:pPr>
          </w:p>
        </w:tc>
      </w:tr>
      <w:tr>
        <w:trPr>
          <w:trHeight w:val="234"/>
        </w:trPr>
        <w:tc>
          <w:tcPr>
            <w:tcW w:w="5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00" w:type="dxa"/>
            <w:vAlign w:val="bottom"/>
          </w:tcPr>
          <w:p>
            <w:pPr>
              <w:spacing w:after="0"/>
              <w:rPr>
                <w:sz w:val="20"/>
                <w:szCs w:val="20"/>
                <w:color w:val="auto"/>
              </w:rPr>
            </w:pPr>
          </w:p>
        </w:tc>
      </w:tr>
      <w:tr>
        <w:trPr>
          <w:trHeight w:val="621"/>
        </w:trPr>
        <w:tc>
          <w:tcPr>
            <w:tcW w:w="5500" w:type="dxa"/>
            <w:vAlign w:val="bottom"/>
          </w:tcPr>
          <w:p>
            <w:pPr>
              <w:spacing w:after="0"/>
              <w:rPr>
                <w:sz w:val="24"/>
                <w:szCs w:val="2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w:t>
            </w:r>
          </w:p>
        </w:tc>
        <w:tc>
          <w:tcPr>
            <w:tcW w:w="2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17" w:lineRule="exact"/>
        <w:rPr>
          <w:sz w:val="20"/>
          <w:szCs w:val="20"/>
          <w:color w:val="auto"/>
        </w:rPr>
      </w:pPr>
    </w:p>
    <w:p>
      <w:pPr>
        <w:ind w:right="3560"/>
        <w:spacing w:after="0" w:line="397" w:lineRule="auto"/>
        <w:rPr>
          <w:sz w:val="20"/>
          <w:szCs w:val="20"/>
          <w:color w:val="auto"/>
        </w:rPr>
      </w:pPr>
      <w:r>
        <w:rPr>
          <w:rFonts w:ascii="Times New Roman" w:cs="Times New Roman" w:eastAsia="Times New Roman" w:hAnsi="Times New Roman"/>
          <w:sz w:val="17"/>
          <w:szCs w:val="17"/>
          <w:b w:val="1"/>
          <w:bCs w:val="1"/>
          <w:color w:val="auto"/>
        </w:rPr>
        <w:t xml:space="preserve">Exhibit 31.1 — </w:t>
      </w:r>
      <w:r>
        <w:rPr>
          <w:rFonts w:ascii="Times New Roman" w:cs="Times New Roman" w:eastAsia="Times New Roman" w:hAnsi="Times New Roman"/>
          <w:sz w:val="17"/>
          <w:szCs w:val="17"/>
          <w:color w:val="auto"/>
        </w:rPr>
        <w:t>Certification of Martin McGlynn under Section 302 of the Sarbanes-Oxley Act of 2002</w:t>
      </w:r>
      <w:r>
        <w:rPr>
          <w:rFonts w:ascii="Times New Roman" w:cs="Times New Roman" w:eastAsia="Times New Roman" w:hAnsi="Times New Roman"/>
          <w:sz w:val="17"/>
          <w:szCs w:val="17"/>
          <w:b w:val="1"/>
          <w:bCs w:val="1"/>
          <w:color w:val="auto"/>
        </w:rPr>
        <w:t xml:space="preserve"> Exhibit 31.2 — </w:t>
      </w:r>
      <w:r>
        <w:rPr>
          <w:rFonts w:ascii="Times New Roman" w:cs="Times New Roman" w:eastAsia="Times New Roman" w:hAnsi="Times New Roman"/>
          <w:sz w:val="17"/>
          <w:szCs w:val="17"/>
          <w:color w:val="auto"/>
        </w:rPr>
        <w:t>Certification of Rodney K. B. Young under Section 302 of the Sarbanes-Oxley Act of 2002</w:t>
      </w:r>
    </w:p>
    <w:p>
      <w:pPr>
        <w:spacing w:after="0" w:line="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32.1 — </w:t>
      </w:r>
      <w:r>
        <w:rPr>
          <w:rFonts w:ascii="Times New Roman" w:cs="Times New Roman" w:eastAsia="Times New Roman" w:hAnsi="Times New Roman"/>
          <w:sz w:val="18"/>
          <w:szCs w:val="18"/>
          <w:color w:val="auto"/>
        </w:rPr>
        <w:t>Certification of Martin McGlynn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32.2 — </w:t>
      </w:r>
      <w:r>
        <w:rPr>
          <w:rFonts w:ascii="Times New Roman" w:cs="Times New Roman" w:eastAsia="Times New Roman" w:hAnsi="Times New Roman"/>
          <w:sz w:val="18"/>
          <w:szCs w:val="18"/>
          <w:color w:val="auto"/>
        </w:rPr>
        <w:t>Certification of Rodney K. B. Young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ectPr>
          <w:pgSz w:w="11900" w:h="16838" w:orient="portrait"/>
          <w:cols w:equalWidth="0" w:num="1">
            <w:col w:w="11340"/>
          </w:cols>
          <w:pgMar w:left="240" w:top="415"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302 OF THE SARBANES-OXLEY 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StemCells, Inc.;</w:t>
      </w:r>
    </w:p>
    <w:p>
      <w:pPr>
        <w:spacing w:after="0" w:line="130"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67"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80" w:hanging="5"/>
        <w:spacing w:after="0" w:line="266" w:lineRule="auto"/>
        <w:tabs>
          <w:tab w:leader="none" w:pos="12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360" w:hanging="5"/>
        <w:spacing w:after="0" w:line="266"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040" w:right="460" w:hanging="5"/>
        <w:spacing w:after="0" w:line="313" w:lineRule="auto"/>
        <w:tabs>
          <w:tab w:leader="none" w:pos="128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hanging="265"/>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27" w:lineRule="exact"/>
        <w:rPr>
          <w:rFonts w:ascii="Times New Roman" w:cs="Times New Roman" w:eastAsia="Times New Roman" w:hAnsi="Times New Roman"/>
          <w:sz w:val="18"/>
          <w:szCs w:val="18"/>
          <w:color w:val="auto"/>
        </w:rPr>
      </w:pPr>
    </w:p>
    <w:p>
      <w:pPr>
        <w:ind w:left="104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700" w:hanging="5"/>
        <w:spacing w:after="0" w:line="282" w:lineRule="auto"/>
        <w:tabs>
          <w:tab w:leader="none" w:pos="12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380" w:hanging="5"/>
        <w:spacing w:after="0" w:line="282"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McGlynn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302 OF THE SARBANES-OXLEY 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StemCells, Inc.;</w:t>
      </w:r>
    </w:p>
    <w:p>
      <w:pPr>
        <w:spacing w:after="0" w:line="130"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67"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80" w:hanging="5"/>
        <w:spacing w:after="0" w:line="266" w:lineRule="auto"/>
        <w:tabs>
          <w:tab w:leader="none" w:pos="12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360" w:hanging="5"/>
        <w:spacing w:after="0" w:line="266" w:lineRule="auto"/>
        <w:tabs>
          <w:tab w:leader="none" w:pos="12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040" w:right="460" w:hanging="5"/>
        <w:spacing w:after="0" w:line="313" w:lineRule="auto"/>
        <w:tabs>
          <w:tab w:leader="none" w:pos="128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hanging="265"/>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27" w:lineRule="exact"/>
        <w:rPr>
          <w:rFonts w:ascii="Times New Roman" w:cs="Times New Roman" w:eastAsia="Times New Roman" w:hAnsi="Times New Roman"/>
          <w:sz w:val="18"/>
          <w:szCs w:val="18"/>
          <w:color w:val="auto"/>
        </w:rPr>
      </w:pPr>
    </w:p>
    <w:p>
      <w:pPr>
        <w:ind w:left="104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700" w:hanging="5"/>
        <w:spacing w:after="0" w:line="282" w:lineRule="auto"/>
        <w:tabs>
          <w:tab w:leader="none" w:pos="12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380" w:hanging="5"/>
        <w:spacing w:after="0" w:line="282" w:lineRule="auto"/>
        <w:tabs>
          <w:tab w:leader="none" w:pos="12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K. B.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931"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StemCells, Inc. (the “Company”) for the period ending March 31, 2007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60" w:hanging="43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McGlynn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StemCells, Inc. (the “Company”) for the period ending March 31, 2007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K. B.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2019-12-13T21:52:02Z</dcterms:created>
  <dcterms:modified xsi:type="dcterms:W3CDTF">2019-12-13T21:52:02Z</dcterms:modified>
</cp:coreProperties>
</file>