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June 25, 2018</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MICROBOT MEDICAL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5"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24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Delaware</w:t>
            </w:r>
          </w:p>
        </w:tc>
        <w:tc>
          <w:tcPr>
            <w:tcW w:w="558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000-19871</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1"/>
              </w:rPr>
              <w:t>94-3078125</w:t>
            </w:r>
          </w:p>
        </w:tc>
      </w:tr>
      <w:tr>
        <w:trPr>
          <w:trHeight w:val="216"/>
        </w:trPr>
        <w:tc>
          <w:tcPr>
            <w:tcW w:w="224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(State or Other Jurisdiction</w:t>
            </w:r>
          </w:p>
        </w:tc>
        <w:tc>
          <w:tcPr>
            <w:tcW w:w="55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(Commission</w:t>
            </w:r>
          </w:p>
        </w:tc>
        <w:tc>
          <w:tcPr>
            <w:tcW w:w="1700" w:type="dxa"/>
            <w:vAlign w:val="bottom"/>
          </w:tcPr>
          <w:p>
            <w:pPr>
              <w:jc w:val="center"/>
              <w:ind w:left="1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24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of Incorporation)</w:t>
            </w:r>
          </w:p>
        </w:tc>
        <w:tc>
          <w:tcPr>
            <w:tcW w:w="558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File Number)</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240" w:type="dxa"/>
            <w:vAlign w:val="bottom"/>
          </w:tcPr>
          <w:p>
            <w:pPr>
              <w:spacing w:after="0"/>
              <w:rPr>
                <w:sz w:val="24"/>
                <w:szCs w:val="24"/>
                <w:color w:val="auto"/>
              </w:rPr>
            </w:pPr>
          </w:p>
        </w:tc>
        <w:tc>
          <w:tcPr>
            <w:tcW w:w="558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25 Recreation Park Drive, Unit 108</w:t>
            </w:r>
          </w:p>
        </w:tc>
        <w:tc>
          <w:tcPr>
            <w:tcW w:w="1700" w:type="dxa"/>
            <w:vAlign w:val="bottom"/>
          </w:tcPr>
          <w:p>
            <w:pPr>
              <w:spacing w:after="0"/>
              <w:rPr>
                <w:sz w:val="24"/>
                <w:szCs w:val="24"/>
                <w:color w:val="auto"/>
              </w:rPr>
            </w:pPr>
          </w:p>
        </w:tc>
      </w:tr>
      <w:tr>
        <w:trPr>
          <w:trHeight w:val="216"/>
        </w:trPr>
        <w:tc>
          <w:tcPr>
            <w:tcW w:w="2240" w:type="dxa"/>
            <w:vAlign w:val="bottom"/>
          </w:tcPr>
          <w:p>
            <w:pPr>
              <w:spacing w:after="0"/>
              <w:rPr>
                <w:sz w:val="18"/>
                <w:szCs w:val="18"/>
                <w:color w:val="auto"/>
              </w:rPr>
            </w:pPr>
          </w:p>
        </w:tc>
        <w:tc>
          <w:tcPr>
            <w:tcW w:w="558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Hingham, MA 02043</w:t>
            </w:r>
          </w:p>
        </w:tc>
        <w:tc>
          <w:tcPr>
            <w:tcW w:w="1700" w:type="dxa"/>
            <w:vAlign w:val="bottom"/>
          </w:tcPr>
          <w:p>
            <w:pPr>
              <w:spacing w:after="0"/>
              <w:rPr>
                <w:sz w:val="18"/>
                <w:szCs w:val="18"/>
                <w:color w:val="auto"/>
              </w:rPr>
            </w:pPr>
          </w:p>
        </w:tc>
      </w:tr>
      <w:tr>
        <w:trPr>
          <w:trHeight w:val="234"/>
        </w:trPr>
        <w:tc>
          <w:tcPr>
            <w:tcW w:w="2240" w:type="dxa"/>
            <w:vAlign w:val="bottom"/>
          </w:tcPr>
          <w:p>
            <w:pPr>
              <w:spacing w:after="0"/>
              <w:rPr>
                <w:sz w:val="20"/>
                <w:szCs w:val="20"/>
                <w:color w:val="auto"/>
              </w:rPr>
            </w:pPr>
          </w:p>
        </w:tc>
        <w:tc>
          <w:tcPr>
            <w:tcW w:w="558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(Address of Principal Executive Offices) (Zip Code)</w:t>
            </w:r>
          </w:p>
        </w:tc>
        <w:tc>
          <w:tcPr>
            <w:tcW w:w="1700" w:type="dxa"/>
            <w:vAlign w:val="bottom"/>
          </w:tcPr>
          <w:p>
            <w:pPr>
              <w:spacing w:after="0"/>
              <w:rPr>
                <w:sz w:val="20"/>
                <w:szCs w:val="20"/>
                <w:color w:val="auto"/>
              </w:rPr>
            </w:pPr>
          </w:p>
        </w:tc>
      </w:tr>
      <w:tr>
        <w:trPr>
          <w:trHeight w:val="432"/>
        </w:trPr>
        <w:tc>
          <w:tcPr>
            <w:tcW w:w="2240" w:type="dxa"/>
            <w:vAlign w:val="bottom"/>
          </w:tcPr>
          <w:p>
            <w:pPr>
              <w:spacing w:after="0"/>
              <w:rPr>
                <w:sz w:val="24"/>
                <w:szCs w:val="24"/>
                <w:color w:val="auto"/>
              </w:rPr>
            </w:pPr>
          </w:p>
        </w:tc>
        <w:tc>
          <w:tcPr>
            <w:tcW w:w="558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Registrant’s telephone number, including area code: (781) 875-3605</w:t>
            </w:r>
          </w:p>
        </w:tc>
        <w:tc>
          <w:tcPr>
            <w:tcW w:w="1700" w:type="dxa"/>
            <w:vAlign w:val="bottom"/>
          </w:tcPr>
          <w:p>
            <w:pPr>
              <w:spacing w:after="0"/>
              <w:rPr>
                <w:sz w:val="24"/>
                <w:szCs w:val="24"/>
                <w:color w:val="auto"/>
              </w:rPr>
            </w:pPr>
          </w:p>
        </w:tc>
      </w:tr>
    </w:tbl>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29"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9200"/>
        <w:spacing w:after="0"/>
        <w:rPr>
          <w:sz w:val="20"/>
          <w:szCs w:val="20"/>
          <w:color w:val="auto"/>
        </w:rPr>
      </w:pPr>
      <w:r>
        <w:rPr>
          <w:rFonts w:ascii="Arial" w:cs="Arial" w:eastAsia="Arial" w:hAnsi="Arial"/>
          <w:sz w:val="17"/>
          <w:szCs w:val="17"/>
          <w:color w:val="auto"/>
        </w:rPr>
        <w:t>Emerging growth company [ ]</w:t>
      </w:r>
    </w:p>
    <w:p>
      <w:pPr>
        <w:spacing w:after="0" w:line="237"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469265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June 25, 2018, Microbot Medical Inc. (the “Company”) issued a press release announcing that Intellectual Property India has granted patent No.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296369, covering the Company’s ViRob™ technology platform.</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copy of the press release is furnished as Exhibit 99.1 to this Current Report on Form 8-K and is incorporated herein by reference. The information in this report (including Exhibit 99.1) is being furnished pursuant to Item 7.01 and shall not be deemed to be “filed” for the purposes of Section 18 of the Securities Exchange Act of 1934, as amended, or otherwise subject to the liabilities of that section. This report will not be deemed an admission as to the materiality of any information herein (including Exhibit 99.1).</w:t>
      </w:r>
    </w:p>
    <w:p>
      <w:pPr>
        <w:spacing w:after="0" w:line="1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221" w:lineRule="exact"/>
        <w:rPr>
          <w:sz w:val="20"/>
          <w:szCs w:val="20"/>
          <w:color w:val="auto"/>
        </w:rPr>
      </w:pPr>
    </w:p>
    <w:p>
      <w:pPr>
        <w:ind w:left="660"/>
        <w:spacing w:after="0"/>
        <w:tabs>
          <w:tab w:leader="none" w:pos="174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26035</wp:posOffset>
            </wp:positionV>
            <wp:extent cx="68351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35140" cy="17145"/>
                    </a:xfrm>
                    <a:prstGeom prst="rect">
                      <a:avLst/>
                    </a:prstGeom>
                    <a:noFill/>
                  </pic:spPr>
                </pic:pic>
              </a:graphicData>
            </a:graphic>
          </wp:anchor>
        </w:drawing>
      </w:r>
    </w:p>
    <w:p>
      <w:pPr>
        <w:spacing w:after="0" w:line="263" w:lineRule="exact"/>
        <w:rPr>
          <w:sz w:val="20"/>
          <w:szCs w:val="20"/>
          <w:color w:val="auto"/>
        </w:rPr>
      </w:pPr>
    </w:p>
    <w:p>
      <w:pPr>
        <w:ind w:left="660"/>
        <w:spacing w:after="0"/>
        <w:tabs>
          <w:tab w:leader="none" w:pos="174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5"/>
            <w:szCs w:val="15"/>
            <w:u w:val="single" w:color="auto"/>
            <w:color w:val="0000EE"/>
          </w:rPr>
          <w:t>Press Release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tabs>
          <w:tab w:leader="none" w:pos="560" w:val="left"/>
          <w:tab w:leader="none" w:pos="5700" w:val="left"/>
        </w:tabs>
        <w:rPr>
          <w:sz w:val="20"/>
          <w:szCs w:val="20"/>
          <w:color w:val="auto"/>
        </w:rPr>
      </w:pPr>
      <w:r>
        <w:rPr>
          <w:rFonts w:ascii="Arial" w:cs="Arial" w:eastAsia="Arial" w:hAnsi="Arial"/>
          <w:sz w:val="18"/>
          <w:szCs w:val="18"/>
          <w:color w:val="auto"/>
        </w:rPr>
        <w:t>Date:</w:t>
        <w:tab/>
        <w:t>June 25, 2018</w:t>
      </w:r>
      <w:r>
        <w:rPr>
          <w:sz w:val="20"/>
          <w:szCs w:val="20"/>
          <w:color w:val="auto"/>
        </w:rPr>
        <w:tab/>
      </w:r>
      <w:r>
        <w:rPr>
          <w:rFonts w:ascii="Arial" w:cs="Arial" w:eastAsia="Arial" w:hAnsi="Arial"/>
          <w:sz w:val="18"/>
          <w:szCs w:val="18"/>
          <w:b w:val="1"/>
          <w:bCs w:val="1"/>
          <w:color w:val="auto"/>
        </w:rPr>
        <w:t>MICROBOT MEDICAL INC.</w:t>
      </w:r>
    </w:p>
    <w:p>
      <w:pPr>
        <w:spacing w:after="0" w:line="229"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Harel Gadot</w:t>
      </w:r>
    </w:p>
    <w:p>
      <w:pPr>
        <w:spacing w:after="0" w:line="23"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tab/>
        <w:t>Chairman,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 w:name="page4"/>
    <w:bookmarkEnd w:id="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spacing w:after="0" w:line="34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2799080</wp:posOffset>
            </wp:positionH>
            <wp:positionV relativeFrom="page">
              <wp:posOffset>226060</wp:posOffset>
            </wp:positionV>
            <wp:extent cx="1929765" cy="7461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929765" cy="74612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Microbot Medical Strengthens Global IP with Issued Patent in India Covering the Company’s ViRob™ Technology Platform</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Hingham, MA – June 25, 2018 – Microbot Medical Inc. (Nasdaq CM: MBOT), a medical device company specializing in the design and development of transformational micro-robotic medical technologies, today announced that Intellectual Property India has granted patent No. 296369, covering the Company’s ViRob™ technology platform.</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issued patent, coupled with the recent notices of patent allowance in China and the EU, again shows our commitment to expand, grow and protect our assets in the developed, as well as the developing markets,” commented Harel Gadot, CEO, President and Chairman. “Based on the recently completed pre-clinical studies, in which leading hydrocephalus experts evaluated the safety and potential clinical benefits of our Self-Cleaning Shunt (SCS)™ product, I believe that our SCS™ product, which leverages the ViRob™ technology, can become the standard of care globally. The constituencies that are recognizing our innovation represent sizeable market opportunities for our planned products.”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Microbot Medical, Inc.</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Microbot™, which was founded in 2010 and commenced operations in 2011, became a NASDAQ listed company on November 28, 2016. The Company specializes in transformational micro-robotic medical technologies leveraging the natural and artificial lumens within the human body. Microbot’s current technological platforms platforms, ViRob</w:t>
      </w:r>
      <w:r>
        <w:rPr>
          <w:rFonts w:ascii="Arial" w:cs="Arial" w:eastAsia="Arial" w:hAnsi="Arial"/>
          <w:sz w:val="26"/>
          <w:szCs w:val="26"/>
          <w:color w:val="auto"/>
          <w:vertAlign w:val="superscript"/>
        </w:rPr>
        <w:t>TM</w:t>
      </w:r>
      <w:r>
        <w:rPr>
          <w:rFonts w:ascii="Arial" w:cs="Arial" w:eastAsia="Arial" w:hAnsi="Arial"/>
          <w:sz w:val="16"/>
          <w:szCs w:val="16"/>
          <w:color w:val="auto"/>
        </w:rPr>
        <w:t>, TipCAT</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and CardioSert</w:t>
      </w:r>
      <w:r>
        <w:rPr>
          <w:rFonts w:ascii="Arial" w:cs="Arial" w:eastAsia="Arial" w:hAnsi="Arial"/>
          <w:sz w:val="26"/>
          <w:szCs w:val="26"/>
          <w:color w:val="auto"/>
          <w:vertAlign w:val="superscript"/>
        </w:rPr>
        <w:t>TM</w:t>
      </w:r>
      <w:r>
        <w:rPr>
          <w:rFonts w:ascii="Arial" w:cs="Arial" w:eastAsia="Arial" w:hAnsi="Arial"/>
          <w:sz w:val="16"/>
          <w:szCs w:val="16"/>
          <w:color w:val="auto"/>
        </w:rPr>
        <w:t>, are comprised of three highly advanced technologies, from which the Company</w:t>
      </w:r>
    </w:p>
    <w:p>
      <w:pPr>
        <w:spacing w:after="0" w:line="1" w:lineRule="exact"/>
        <w:rPr>
          <w:sz w:val="20"/>
          <w:szCs w:val="20"/>
          <w:color w:val="auto"/>
        </w:rPr>
      </w:pPr>
    </w:p>
    <w:p>
      <w:pPr>
        <w:jc w:val="both"/>
        <w:spacing w:after="0" w:line="217" w:lineRule="auto"/>
        <w:rPr>
          <w:sz w:val="20"/>
          <w:szCs w:val="20"/>
          <w:color w:val="auto"/>
        </w:rPr>
      </w:pPr>
      <w:r>
        <w:rPr>
          <w:rFonts w:ascii="Arial" w:cs="Arial" w:eastAsia="Arial" w:hAnsi="Arial"/>
          <w:sz w:val="18"/>
          <w:szCs w:val="18"/>
          <w:color w:val="auto"/>
        </w:rPr>
        <w:t>is currently developing its first product candidate: the Self Cleaning Shunt, or SCS</w:t>
      </w:r>
      <w:r>
        <w:rPr>
          <w:rFonts w:ascii="Arial" w:cs="Arial" w:eastAsia="Arial" w:hAnsi="Arial"/>
          <w:sz w:val="30"/>
          <w:szCs w:val="30"/>
          <w:color w:val="auto"/>
          <w:vertAlign w:val="superscript"/>
        </w:rPr>
        <w:t>TM</w:t>
      </w:r>
      <w:r>
        <w:rPr>
          <w:rFonts w:ascii="Arial" w:cs="Arial" w:eastAsia="Arial" w:hAnsi="Arial"/>
          <w:sz w:val="18"/>
          <w:szCs w:val="18"/>
          <w:color w:val="auto"/>
        </w:rPr>
        <w:t>, for the treatment of hydrocephalus and Normal Pressure Hydrocephalus, or NPH; and focusing on the development of a Multi Generation Pipeline Portfolio (MGPP) utilizing all technologies. Further information about Microbot Medical is available at http://www.microbotmedical.com.</w:t>
      </w:r>
    </w:p>
    <w:p>
      <w:pPr>
        <w:spacing w:after="0" w:line="207"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The ViRob</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technology is a revolutionary autonomous crawling micro-robot which can be controlled remotely or within the body. Its miniature dimensions allow it to navigate and crawl in different spaces within the human body, including blood vessels, the digestive tract and the respiratory system. Its unique structure gives it the ability to move in tight spaces and curved passages as well as the ability to remain within the human body for prolonged time. To learn more about ViRob</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please visit http://www.microbotmedical.com/technology/virob/.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198120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 w:name="page6"/>
    <w:bookmarkEnd w:id="5"/>
    <w:p>
      <w:pPr>
        <w:jc w:val="both"/>
        <w:spacing w:after="0" w:line="239" w:lineRule="auto"/>
        <w:rPr>
          <w:sz w:val="20"/>
          <w:szCs w:val="20"/>
          <w:color w:val="auto"/>
        </w:rPr>
      </w:pPr>
      <w:r>
        <w:rPr>
          <w:rFonts w:ascii="Arial" w:cs="Arial" w:eastAsia="Arial" w:hAnsi="Arial"/>
          <w:sz w:val="18"/>
          <w:szCs w:val="18"/>
          <w:color w:val="auto"/>
        </w:rPr>
        <w:t>TipCAT</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is a transformational self-propelled, flexible, and semi-disposable endoscope providing see &amp; treat capabilities within tubular lumens in the human body such as the colon, blood vessels, and the urinary tract. Its locomotion mechanism is perfectly suitable to navigate and crawl through natural &amp; artificial tubular lumens, applying the minimal necessary pressure to achieve the adequate friction required for gentle, fast, and safe advancement within the human body. To learn more about TipCAT</w:t>
      </w:r>
      <w:r>
        <w:rPr>
          <w:rFonts w:ascii="Arial" w:cs="Arial" w:eastAsia="Arial" w:hAnsi="Arial"/>
          <w:sz w:val="29"/>
          <w:szCs w:val="29"/>
          <w:color w:val="auto"/>
          <w:vertAlign w:val="superscript"/>
        </w:rPr>
        <w:t>TM</w:t>
      </w:r>
      <w:r>
        <w:rPr>
          <w:rFonts w:ascii="Arial" w:cs="Arial" w:eastAsia="Arial" w:hAnsi="Arial"/>
          <w:sz w:val="18"/>
          <w:szCs w:val="18"/>
          <w:color w:val="auto"/>
        </w:rPr>
        <w:t>, visit http://www.microbotmedical.com/technology/tipcat/.</w:t>
      </w:r>
    </w:p>
    <w:p>
      <w:pPr>
        <w:spacing w:after="0" w:line="85" w:lineRule="exact"/>
        <w:rPr>
          <w:sz w:val="20"/>
          <w:szCs w:val="20"/>
          <w:color w:val="auto"/>
        </w:rPr>
      </w:pPr>
    </w:p>
    <w:p>
      <w:pPr>
        <w:jc w:val="both"/>
        <w:spacing w:after="0" w:line="227" w:lineRule="auto"/>
        <w:rPr>
          <w:sz w:val="20"/>
          <w:szCs w:val="20"/>
          <w:color w:val="auto"/>
        </w:rPr>
      </w:pPr>
      <w:r>
        <w:rPr>
          <w:rFonts w:ascii="Arial" w:cs="Arial" w:eastAsia="Arial" w:hAnsi="Arial"/>
          <w:sz w:val="16"/>
          <w:szCs w:val="16"/>
          <w:color w:val="auto"/>
        </w:rPr>
        <w:t>CardioSert</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technology is a unique combination of a guidewire and microcatheter, technologies that are broadly used for endoluminal surgery. The CardioSert</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technology features unique steering and stiffness control capabilities, and it was originally developed to support interventional cardiologists in crossing the most complex lesions called chronic total occlusion (CTO) during percutaneous coronary intervention (PCI) procedures and has the potential to</w:t>
      </w:r>
    </w:p>
    <w:p>
      <w:pPr>
        <w:jc w:val="both"/>
        <w:spacing w:after="0" w:line="217" w:lineRule="auto"/>
        <w:rPr>
          <w:sz w:val="20"/>
          <w:szCs w:val="20"/>
          <w:color w:val="auto"/>
        </w:rPr>
      </w:pPr>
      <w:r>
        <w:rPr>
          <w:rFonts w:ascii="Arial" w:cs="Arial" w:eastAsia="Arial" w:hAnsi="Arial"/>
          <w:sz w:val="18"/>
          <w:szCs w:val="18"/>
          <w:color w:val="auto"/>
        </w:rPr>
        <w:t>be used in other spaces and applications, such as peripheral intervention, neurosurgery and urology. CardioSert</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was part of a technological incubator supported by the Israel Innovation Authorities (formerly known as the Office of the Chief Scientist, or OCS), and its device has successfully completed pre-clinical testing.</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Statements pertaining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risks inherent in the development and/or commercialization of potential products, the outcome of its studies to evaluate the SCS and other existing and future technologies, uncertainty in the results of pre-clinical and clinical trials or regulatory approvals, need and ability to obtain future capital, and maintenance of intellectual property rights. Actual results may differ materially from the results anticipated in these forward-looking statements and as such should be evaluated together with the many uncertainties that affect the businesses of Microbot Medical Inc. particularly those mentioned in the cautionary statements found in Microbot Medical Inc.’s filings with the Securities and Exchange Commission. Microbot Medical disclaims any intent or obligation to update these forward-looking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Michael Polyviou</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EVC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mpolyviou@evcgroup.com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732-933-2754</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6" w:right="23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2019-12-28T21:09:40Z</dcterms:created>
  <dcterms:modified xsi:type="dcterms:W3CDTF">2019-12-28T21:09:40Z</dcterms:modified>
</cp:coreProperties>
</file>