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1,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294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50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76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194"/>
        </w:trPr>
        <w:tc>
          <w:tcPr>
            <w:tcW w:w="2940" w:type="dxa"/>
            <w:vAlign w:val="bottom"/>
            <w:tcBorders>
              <w:top w:val="single" w:sz="8" w:color="auto"/>
            </w:tcBorders>
          </w:tcPr>
          <w:p>
            <w:pPr>
              <w:jc w:val="center"/>
              <w:ind w:left="590"/>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6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(Commission</w:t>
            </w:r>
          </w:p>
        </w:tc>
        <w:tc>
          <w:tcPr>
            <w:tcW w:w="2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760" w:type="dxa"/>
            <w:vAlign w:val="bottom"/>
            <w:tcBorders>
              <w:top w:val="single" w:sz="8" w:color="auto"/>
            </w:tcBorders>
          </w:tcPr>
          <w:p>
            <w:pPr>
              <w:jc w:val="center"/>
              <w:ind w:right="7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94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4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76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9"/>
              </w:rPr>
              <w:t>288 Grove Street, Suite 388</w:t>
            </w:r>
          </w:p>
        </w:tc>
        <w:tc>
          <w:tcPr>
            <w:tcW w:w="2760" w:type="dxa"/>
            <w:vAlign w:val="bottom"/>
          </w:tcPr>
          <w:p>
            <w:pPr>
              <w:spacing w:after="0"/>
              <w:rPr>
                <w:sz w:val="24"/>
                <w:szCs w:val="24"/>
                <w:color w:val="auto"/>
              </w:rPr>
            </w:pPr>
          </w:p>
        </w:tc>
      </w:tr>
      <w:tr>
        <w:trPr>
          <w:trHeight w:val="216"/>
        </w:trPr>
        <w:tc>
          <w:tcPr>
            <w:tcW w:w="2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Braintree, MA 02184</w:t>
            </w:r>
          </w:p>
        </w:tc>
        <w:tc>
          <w:tcPr>
            <w:tcW w:w="2760" w:type="dxa"/>
            <w:vAlign w:val="bottom"/>
          </w:tcPr>
          <w:p>
            <w:pPr>
              <w:spacing w:after="0"/>
              <w:rPr>
                <w:sz w:val="18"/>
                <w:szCs w:val="18"/>
                <w:color w:val="auto"/>
              </w:rPr>
            </w:pPr>
          </w:p>
        </w:tc>
      </w:tr>
      <w:tr>
        <w:trPr>
          <w:trHeight w:val="238"/>
        </w:trPr>
        <w:tc>
          <w:tcPr>
            <w:tcW w:w="2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60" w:type="dxa"/>
            <w:vAlign w:val="bottom"/>
            <w:gridSpan w:val="4"/>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2760" w:type="dxa"/>
            <w:vAlign w:val="bottom"/>
          </w:tcPr>
          <w:p>
            <w:pPr>
              <w:spacing w:after="0"/>
              <w:rPr>
                <w:sz w:val="20"/>
                <w:szCs w:val="20"/>
                <w:color w:val="auto"/>
              </w:rPr>
            </w:pPr>
          </w:p>
        </w:tc>
      </w:tr>
      <w:tr>
        <w:trPr>
          <w:trHeight w:val="432"/>
        </w:trPr>
        <w:tc>
          <w:tcPr>
            <w:tcW w:w="2940" w:type="dxa"/>
            <w:vAlign w:val="bottom"/>
          </w:tcPr>
          <w:p>
            <w:pPr>
              <w:spacing w:after="0"/>
              <w:rPr>
                <w:sz w:val="24"/>
                <w:szCs w:val="24"/>
                <w:color w:val="auto"/>
              </w:rPr>
            </w:pPr>
          </w:p>
        </w:tc>
        <w:tc>
          <w:tcPr>
            <w:tcW w:w="55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27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3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20" w:type="dxa"/>
            <w:vAlign w:val="bottom"/>
          </w:tcPr>
          <w:p>
            <w:pPr>
              <w:spacing w:after="0"/>
              <w:rPr>
                <w:sz w:val="20"/>
                <w:szCs w:val="20"/>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20"/>
                <w:szCs w:val="20"/>
                <w:color w:val="auto"/>
              </w:rPr>
            </w:pPr>
          </w:p>
        </w:tc>
        <w:tc>
          <w:tcPr>
            <w:tcW w:w="5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On November 17, 2023, in connection with the expiration of its universal shelf registration statement on Form S-3 (File No. 333-250966) that was filed with the Securities and Exchange Commission (the “SEC”) on November 25, 2020 (the “2020 Registration Statement”), Microbot Medical Inc. (the “Company”) filed a new universal shelf registration statement on Form S-3 (File No. 333-275634) (the “2023 Registration Statement”), which was declared effective by the SEC on December 4, 2023. On July 1, 2024, the Company filed with the SEC a prospectus supplement relating to the Company’s “at the market offering” program (the “ATM Program”), which was previously registered under the 2020 Registration Statement. The prospectus supplement covers the offering of shares of the Company’s common stock under the ATM Program.</w:t>
      </w:r>
    </w:p>
    <w:p>
      <w:pPr>
        <w:spacing w:after="0" w:line="187"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Sales of the shares of common stock under the ATM Program, if any, will be made by means of transactions that are deemed to be an “at the market offering” as defined in Rule 415 under the Securities Act of 1933, as amended, including sales made directly on or through the Nasdaq Capital Market, the existing trading market for our common stock, sales made to or through a market maker other than on an exchange or otherwise, directly to Wainwright as principal, in negotiated transactions at market prices prevailing at the time of sale or at prices related to such prevailing market prices, and/or in any other method permitted by law. The shares that may be sold under the ATM Program have an aggregate offering price of up to $4,819,905.</w:t>
      </w:r>
    </w:p>
    <w:p>
      <w:pPr>
        <w:spacing w:after="0" w:line="183"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The Company previously entered into an At the Market Offering Agreement dated June 10, 2021, as amended on July 1, 2024 (the “Sales Agreement”), with H.C. Wainwright &amp; Co., LLC in connection with the ATM Program. On July 1, 2024, the Company amended the Sales Agreement to, among other things, reflect that the shares of common stock issued under the ATM Program will be issued pursuant to the 2023 Registration Statement and the new prospectus supplement.</w:t>
      </w:r>
    </w:p>
    <w:p>
      <w:pPr>
        <w:spacing w:after="0" w:line="180"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amendment to the Sales Agreement is not complete and is qualified in its entirety by reference to the full text of the amendment, which is filed as Exhibit 10.1 to this Current Report on Form 8-K and incorporated herein by reference.</w:t>
      </w:r>
    </w:p>
    <w:p>
      <w:pPr>
        <w:spacing w:after="0" w:line="162"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opinion of the Company’s counsel regarding the validity of the shares of common stock offered pursuant to the ATM Program under the new prospectus supplement is filed as Exhibit 5.1 to this Current Report on Form 8-K.</w:t>
      </w:r>
    </w:p>
    <w:p>
      <w:pPr>
        <w:spacing w:after="0" w:line="162"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This Current Report on Form 8-K does not constitute an offer to sell or a solicitation of an offer to buy shares of the Company’s common stock, and there shall not be any sale of such shares in any state or jurisdiction in which such an offer, solicitation or sale would be unlawful prior to registration or qualification under the securities laws of any such jurisdiction. The sale of shares of the Company’s common stock is being made only by means of a prospectus and related prospectus supplement.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109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Exhibits.</w:t>
            </w:r>
          </w:p>
        </w:tc>
      </w:tr>
      <w:tr>
        <w:trPr>
          <w:trHeight w:val="453"/>
        </w:trPr>
        <w:tc>
          <w:tcPr>
            <w:tcW w:w="112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r>
      <w:tr>
        <w:trPr>
          <w:trHeight w:val="162"/>
        </w:trPr>
        <w:tc>
          <w:tcPr>
            <w:tcW w:w="32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6"/>
                <w:szCs w:val="16"/>
                <w:color w:val="auto"/>
              </w:rPr>
              <w:t>5.1</w:t>
            </w:r>
          </w:p>
        </w:tc>
        <w:tc>
          <w:tcPr>
            <w:tcW w:w="6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80" w:type="dxa"/>
            <w:vAlign w:val="bottom"/>
            <w:gridSpan w:val="4"/>
          </w:tcPr>
          <w:p>
            <w:pPr>
              <w:spacing w:after="0" w:line="142" w:lineRule="exact"/>
              <w:rPr>
                <w:sz w:val="20"/>
                <w:szCs w:val="20"/>
                <w:color w:val="auto"/>
              </w:rPr>
            </w:pPr>
            <w:r>
              <w:rPr>
                <w:rFonts w:ascii="Times New Roman" w:cs="Times New Roman" w:eastAsia="Times New Roman" w:hAnsi="Times New Roman"/>
                <w:sz w:val="16"/>
                <w:szCs w:val="16"/>
                <w:color w:val="0000EE"/>
              </w:rPr>
              <w:t>Opinion of Mintz, Levin, Cohn, Ferris, Glovsky and Popeo, P.C.</w:t>
            </w:r>
          </w:p>
        </w:tc>
      </w:tr>
      <w:tr>
        <w:trPr>
          <w:trHeight w:val="20"/>
        </w:trPr>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90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209"/>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w w:val="95"/>
              </w:rPr>
              <w:t>10.1</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Amendment to the At the Market Offering Agreement, dated July 1, 2024, by and between Microbot Medical Inc. and H.C. Wainwright &amp;</w:t>
            </w:r>
          </w:p>
        </w:tc>
      </w:tr>
      <w:tr>
        <w:trPr>
          <w:trHeight w:val="196"/>
        </w:trPr>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Co., LLC.</w:t>
            </w:r>
          </w:p>
        </w:tc>
        <w:tc>
          <w:tcPr>
            <w:tcW w:w="9340" w:type="dxa"/>
            <w:vAlign w:val="bottom"/>
            <w:gridSpan w:val="3"/>
          </w:tcPr>
          <w:p>
            <w:pPr>
              <w:spacing w:after="0"/>
              <w:rPr>
                <w:sz w:val="17"/>
                <w:szCs w:val="17"/>
                <w:color w:val="auto"/>
              </w:rPr>
            </w:pPr>
          </w:p>
        </w:tc>
      </w:tr>
      <w:tr>
        <w:trPr>
          <w:trHeight w:val="196"/>
        </w:trPr>
        <w:tc>
          <w:tcPr>
            <w:tcW w:w="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5"/>
              </w:rPr>
              <w:t>23.1</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Consent of Mintz, Levin, Cohn, Ferris, Glovsky and Popeo, P.C. (contained in Exhibit 5.1).</w:t>
            </w: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58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XBRL document)</w:t>
            </w:r>
          </w:p>
        </w:tc>
        <w:tc>
          <w:tcPr>
            <w:tcW w:w="3500" w:type="dxa"/>
            <w:vAlign w:val="bottom"/>
          </w:tcPr>
          <w:p>
            <w:pPr>
              <w:spacing w:after="0"/>
              <w:rPr>
                <w:sz w:val="20"/>
                <w:szCs w:val="20"/>
                <w:color w:val="auto"/>
              </w:rPr>
            </w:pPr>
          </w:p>
        </w:tc>
      </w:tr>
      <w:tr>
        <w:trPr>
          <w:trHeight w:val="439"/>
        </w:trPr>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One Financial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-119380</wp:posOffset>
            </wp:positionV>
            <wp:extent cx="720090" cy="916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090" cy="916940"/>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Boston, MA 02111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(617) 542-6000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mintz.com</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Microbot Medical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288 Grove Street, Suite 388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Braintree, MA 02184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0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acted as counsel to Microbot Medical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preparation and filing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of a Prospectus Supplement, dated July 1, 2024, to a Prospectus, dated December 4, 2023 (the “</w:t>
      </w:r>
      <w:r>
        <w:rPr>
          <w:rFonts w:ascii="Times New Roman" w:cs="Times New Roman" w:eastAsia="Times New Roman" w:hAnsi="Times New Roman"/>
          <w:sz w:val="18"/>
          <w:szCs w:val="18"/>
          <w:b w:val="1"/>
          <w:bCs w:val="1"/>
          <w:color w:val="auto"/>
        </w:rPr>
        <w:t>Prospectus and Prospectus Supplement</w:t>
      </w:r>
      <w:r>
        <w:rPr>
          <w:rFonts w:ascii="Times New Roman" w:cs="Times New Roman" w:eastAsia="Times New Roman" w:hAnsi="Times New Roman"/>
          <w:sz w:val="18"/>
          <w:szCs w:val="18"/>
          <w:color w:val="auto"/>
        </w:rPr>
        <w:t>”), filed pursuant to a Registration Statement on Form S-3, Registration No. 333-275634 (the “</w:t>
      </w:r>
      <w:r>
        <w:rPr>
          <w:rFonts w:ascii="Times New Roman" w:cs="Times New Roman" w:eastAsia="Times New Roman" w:hAnsi="Times New Roman"/>
          <w:sz w:val="18"/>
          <w:szCs w:val="18"/>
          <w:b w:val="1"/>
          <w:bCs w:val="1"/>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w:t>
      </w:r>
      <w:r>
        <w:rPr>
          <w:rFonts w:ascii="Times New Roman" w:cs="Times New Roman" w:eastAsia="Times New Roman" w:hAnsi="Times New Roman"/>
          <w:sz w:val="18"/>
          <w:szCs w:val="18"/>
          <w:color w:val="auto"/>
        </w:rPr>
        <w:t>”), pursuant to which the Company is registering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the sale of up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$4,819,905 of shares (the “</w:t>
      </w:r>
      <w:r>
        <w:rPr>
          <w:rFonts w:ascii="Times New Roman" w:cs="Times New Roman" w:eastAsia="Times New Roman" w:hAnsi="Times New Roman"/>
          <w:sz w:val="18"/>
          <w:szCs w:val="18"/>
          <w:b w:val="1"/>
          <w:bCs w:val="1"/>
          <w:color w:val="auto"/>
        </w:rPr>
        <w:t>Placement Shares</w:t>
      </w:r>
      <w:r>
        <w:rPr>
          <w:rFonts w:ascii="Times New Roman" w:cs="Times New Roman" w:eastAsia="Times New Roman" w:hAnsi="Times New Roman"/>
          <w:sz w:val="18"/>
          <w:szCs w:val="18"/>
          <w:color w:val="auto"/>
        </w:rPr>
        <w:t>”) of common stock, $0.01 par value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of the Company. The Placement Shares are being sold pursuant to a At the Market Offering Agreement, dated as of June 10, 2021, as amended on July 1, 2024, by and between the Company and H.C. Wainwright &amp; Co., LLC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pursuant to which the Company may issue and sell the Placement Shares pursuant to the Registration Statement and the Prospectus and Prospectus Supplement.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this opinion, we have examined the Company’s Restated Certificate of Incorporation, as amended to date, and Amended and Restated By-laws, as amended to date, such other records of the corporate proceedings of the Company and certificates of the Company’s officers as we have deemed relevant, as well as the Registration Statement and the exhibits thereto and the Prospectus and the Prospectus Supplement.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our examination, we have assumed the genuineness of all signatures, the legal capacity of natural persons, the authenticity of all documents submitted to us as originals, the conformity to original documents of all documents submitted to us as certified, photostatic or facsimile copies and the authenticity of the originals of such copies.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Based upon the foregoing, and subject to the limitations set forth below, we are of the opinion that the Placement Shares, when issued by the Company out of the Company’s duly authorized Common Stock and issued and delivered by the Company against payment therefor as contemplated by the Agreement, on terms approved by the Board of Directors of the Company, or a duly authorized committee thereof, will be duly and validly issued, fully paid and non-assessable.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opinion is limited to the General Corporation Law of the State of Delaware and the United States federal laws, and we express no opinion with respect to the laws of any other jurisdiction. No opinion is expressed herein with respect to the qualification of the Placement Shares under the securities or blue sky laws of any state or any foreign jurisdiction.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relied as to certain matters on information obtained from public officials, officers of the Company, and other sources believed by us to be responsible.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a Current Report on Form 8-K and the Registration Statement in accordance with the requirements of Item 601(b)(5) of Regulation S-K under the Securities Act and to the use of this Firm’s name therein and in the Prospectus Supplement under the caption “Legal Matters.” In giving such consent, we do not hereby admit that we are in the category of persons whose consent is required under Section 7 of the Securities Act or the rules and regulations of the Commission.</w:t>
      </w:r>
    </w:p>
    <w:p>
      <w:pPr>
        <w:spacing w:after="0" w:line="18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27305</wp:posOffset>
            </wp:positionV>
            <wp:extent cx="3566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BOSTON LOS ANGELES MIAMI NEW YORK SAN DIEGO SAN FRANCISCO TORONTO WASHINGTON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July 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Microbot Medical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288 Grove Street, Suite 388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Braintree, MA 02184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Harel Gadot, President, CEO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 Gadot: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Reference is made to the At The Market Offering Agreement, dated as of June 10, 2021 (the “</w:t>
      </w:r>
      <w:r>
        <w:rPr>
          <w:rFonts w:ascii="Times New Roman" w:cs="Times New Roman" w:eastAsia="Times New Roman" w:hAnsi="Times New Roman"/>
          <w:sz w:val="18"/>
          <w:szCs w:val="18"/>
          <w:u w:val="single" w:color="auto"/>
          <w:color w:val="auto"/>
        </w:rPr>
        <w:t>ATM Agreement</w:t>
      </w:r>
      <w:r>
        <w:rPr>
          <w:rFonts w:ascii="Times New Roman" w:cs="Times New Roman" w:eastAsia="Times New Roman" w:hAnsi="Times New Roman"/>
          <w:sz w:val="18"/>
          <w:szCs w:val="18"/>
          <w:color w:val="auto"/>
        </w:rPr>
        <w:t>”), between Microbot Medical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H.C. Wainwright &amp; Co., LLC (“</w:t>
      </w:r>
      <w:r>
        <w:rPr>
          <w:rFonts w:ascii="Times New Roman" w:cs="Times New Roman" w:eastAsia="Times New Roman" w:hAnsi="Times New Roman"/>
          <w:sz w:val="18"/>
          <w:szCs w:val="18"/>
          <w:u w:val="single" w:color="auto"/>
          <w:color w:val="auto"/>
        </w:rPr>
        <w:t>Wainwright</w:t>
      </w:r>
      <w:r>
        <w:rPr>
          <w:rFonts w:ascii="Times New Roman" w:cs="Times New Roman" w:eastAsia="Times New Roman" w:hAnsi="Times New Roman"/>
          <w:sz w:val="18"/>
          <w:szCs w:val="18"/>
          <w:color w:val="auto"/>
        </w:rPr>
        <w:t>”). This letter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constitutes an agreement between the Company and Wainwright to amend the ATM Agreement as set forth herein. Defined terms that are used but not defined herein shall have the meanings ascribed to such terms in the ATM Agreement.</w:t>
      </w:r>
    </w:p>
    <w:p>
      <w:pPr>
        <w:spacing w:after="0" w:line="180" w:lineRule="exact"/>
        <w:rPr>
          <w:sz w:val="20"/>
          <w:szCs w:val="20"/>
          <w:color w:val="auto"/>
        </w:rPr>
      </w:pPr>
    </w:p>
    <w:p>
      <w:pPr>
        <w:ind w:left="840" w:hanging="184"/>
        <w:spacing w:after="0"/>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defined term “Agreement” in the ATM Agreement is amended to mean the ATM Agreement as amended by this Amendment.</w:t>
      </w:r>
    </w:p>
    <w:p>
      <w:pPr>
        <w:spacing w:after="0" w:line="225" w:lineRule="exact"/>
        <w:rPr>
          <w:rFonts w:ascii="Times New Roman" w:cs="Times New Roman" w:eastAsia="Times New Roman" w:hAnsi="Times New Roman"/>
          <w:sz w:val="18"/>
          <w:szCs w:val="18"/>
          <w:color w:val="auto"/>
        </w:rPr>
      </w:pPr>
    </w:p>
    <w:p>
      <w:pPr>
        <w:ind w:left="860" w:hanging="204"/>
        <w:spacing w:after="0"/>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defined term “Registration Statement” in the ATM Agreement is amended by deleting “333-250966” and inserting in its place “333-</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275634”.</w:t>
      </w:r>
    </w:p>
    <w:p>
      <w:pPr>
        <w:spacing w:after="0" w:line="206"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sentence of Section 2(b)(vii) of the ATM Agreement is hereby amended and restated in its entirety as follows:</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“Unless otherwise agreed between the Company and the Manager, settlement for sales of the Shares will occur at 10:00 a.m. (New York City time) on the first (1st) Trading Day (or any such shorter settlement cycle as may be in effect pursuant to Rule 15c6-1 under the Exchange Act from time to time) following the date on which such sales are made (each, a “</w:t>
      </w:r>
      <w:r>
        <w:rPr>
          <w:rFonts w:ascii="Times New Roman" w:cs="Times New Roman" w:eastAsia="Times New Roman" w:hAnsi="Times New Roman"/>
          <w:sz w:val="18"/>
          <w:szCs w:val="18"/>
          <w:u w:val="single" w:color="auto"/>
          <w:color w:val="auto"/>
        </w:rPr>
        <w:t>Settlement Date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4. Section 3(g) of the ATM Agreement is hereby amended and restated in its entirety as follows:</w:t>
      </w:r>
    </w:p>
    <w:p>
      <w:pPr>
        <w:spacing w:after="0" w:line="2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capitalization of the Company is as set forth in the SEC Reports as of the date set forth therein. The Company has not issued any capital stock since its most recently filed SEC Report under the Exchange Act (or in respect of issuances following the date hereof, as set forth in its most recently filed periodic report under the Exchange Act or in a Form 8-K), other than pursuant to the exercise of employee stock options under the Company’s or Subsidiaries’ equity incentive, performance, stock option or compensatory plan, contract or arrangement (a “Plan”), the issuance of shares of Common Stock to employees pursuant to the Company’s employee stock purchase plans and pursuant to the conversion and/or exercise of securities exercisable, exchangeable or convertible into Common Stock (“Common Stock Equivalents”) outstanding as of the date of the most recently filed periodic report under the Exchange Act. No Person has any right of first refusal, preemptive right, right of participation, or any similar right to participate in the transactions contemplated by this Agreement. Except as set forth in the SEC Reports,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Shares will not obligate the Company or any Subsidiary to issue shares of Common Stock or other securities to any Person. Except as set forth in the SEC Reports, there are no outstanding securities or instruments of the Company or any Subsidiary with any provision that adjusts the exercise, conversion, exchange or reset price of such security or instrument upon an issuance of securities by the Company or any Subsidiary. Except as set forth in the SEC Reports,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Except as disclosed in the SEC Reports,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The last sentence of Section 3(h) of the ATM Agreement is hereby amended and restated in its entirety as follows: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meets the transaction requirements as set forth in General Instruction I.B.1 of Form S-3 or, if applicable, as set forth in General Instruction I.B.6 of Form S-3 with respect to the aggregate market value of securities being sold pursuant to this offering and during the twelve (12) months prior to such time that this representation is repeated or deemed to be made.”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The second sentence of Section 3(v) of the ATM Agreement is hereby amended and restated in its entirety as follows: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except as would not be reasonably expected to have a Material Adverse Effect or as disclosed in the SEC Reports.”</w:t>
      </w:r>
    </w:p>
    <w:p>
      <w:pPr>
        <w:spacing w:after="0" w:line="17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6" w:name="page7"/>
    <w:bookmarkEnd w:id="6"/>
    <w:p>
      <w:pPr>
        <w:ind w:left="4"/>
        <w:spacing w:after="0"/>
        <w:rPr>
          <w:sz w:val="20"/>
          <w:szCs w:val="20"/>
          <w:color w:val="auto"/>
        </w:rPr>
      </w:pPr>
      <w:r>
        <w:rPr>
          <w:rFonts w:ascii="Times New Roman" w:cs="Times New Roman" w:eastAsia="Times New Roman" w:hAnsi="Times New Roman"/>
          <w:sz w:val="18"/>
          <w:szCs w:val="18"/>
          <w:color w:val="auto"/>
        </w:rPr>
        <w:t>7. Section 3(bb) of the ATM Agreement is hereby amended and restated in its entirety as follows:</w:t>
      </w:r>
    </w:p>
    <w:p>
      <w:pPr>
        <w:spacing w:after="0" w:line="225" w:lineRule="exact"/>
        <w:rPr>
          <w:sz w:val="20"/>
          <w:szCs w:val="20"/>
          <w:color w:val="auto"/>
        </w:rPr>
      </w:pPr>
    </w:p>
    <w:p>
      <w:pPr>
        <w:jc w:val="both"/>
        <w:ind w:left="4"/>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is not, and is not an Affiliate of, and immediately after receipt of payment for the Shares from the Manager pursuant to this Agreement,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 The Company shall conduct its business in a manner so as to reasonably ensure that it or its Subsidiaries will not become an “investment company” subject to registration under the Investment Company Act of 1940, as amended.”</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8. A new Section 3(qq) of the ATM Agreement is inserted and reads as follows:</w:t>
      </w:r>
    </w:p>
    <w:p>
      <w:pPr>
        <w:spacing w:after="0" w:line="225" w:lineRule="exact"/>
        <w:rPr>
          <w:sz w:val="20"/>
          <w:szCs w:val="20"/>
          <w:color w:val="auto"/>
        </w:rPr>
      </w:pPr>
    </w:p>
    <w:p>
      <w:pPr>
        <w:jc w:val="both"/>
        <w:ind w:left="4"/>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(i)(x)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 w:cs="Times New Roman" w:eastAsia="Times New Roman" w:hAnsi="Times New Roman"/>
          <w:sz w:val="18"/>
          <w:szCs w:val="18"/>
          <w:u w:val="single" w:color="auto"/>
          <w:color w:val="auto"/>
        </w:rPr>
        <w:t>IT Systems and Data</w:t>
      </w:r>
      <w:r>
        <w:rPr>
          <w:rFonts w:ascii="Times New Roman" w:cs="Times New Roman" w:eastAsia="Times New Roman" w:hAnsi="Times New Roman"/>
          <w:sz w:val="18"/>
          <w:szCs w:val="18"/>
          <w:color w:val="auto"/>
        </w:rPr>
        <w:t>”) and</w:t>
      </w:r>
    </w:p>
    <w:p>
      <w:pPr>
        <w:spacing w:after="0" w:line="1" w:lineRule="exact"/>
        <w:rPr>
          <w:sz w:val="20"/>
          <w:szCs w:val="20"/>
          <w:color w:val="auto"/>
        </w:rPr>
      </w:pPr>
    </w:p>
    <w:p>
      <w:pPr>
        <w:jc w:val="both"/>
        <w:ind w:left="4" w:hanging="4"/>
        <w:spacing w:after="0" w:line="251" w:lineRule="auto"/>
        <w:tabs>
          <w:tab w:leader="none" w:pos="28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Subsidiaries have not been notified of, and has no knowledge of any event or condition that would reasonably be expected to result in, any security breach or other compromise to its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industry standards and practices.”</w:t>
      </w:r>
    </w:p>
    <w:p>
      <w:pPr>
        <w:spacing w:after="0" w:line="19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7" w:name="page8"/>
    <w:bookmarkEnd w:id="7"/>
    <w:p>
      <w:pPr>
        <w:ind w:left="4"/>
        <w:spacing w:after="0"/>
        <w:rPr>
          <w:sz w:val="20"/>
          <w:szCs w:val="20"/>
          <w:color w:val="auto"/>
        </w:rPr>
      </w:pPr>
      <w:r>
        <w:rPr>
          <w:rFonts w:ascii="Times New Roman" w:cs="Times New Roman" w:eastAsia="Times New Roman" w:hAnsi="Times New Roman"/>
          <w:sz w:val="18"/>
          <w:szCs w:val="18"/>
          <w:color w:val="auto"/>
        </w:rPr>
        <w:t>9. A new Section 3(rr) of the ATM Agreement is inserted and reads as follows:</w:t>
      </w:r>
    </w:p>
    <w:p>
      <w:pPr>
        <w:spacing w:after="0" w:line="225" w:lineRule="exact"/>
        <w:rPr>
          <w:sz w:val="20"/>
          <w:szCs w:val="20"/>
          <w:color w:val="auto"/>
        </w:rPr>
      </w:pPr>
    </w:p>
    <w:p>
      <w:pPr>
        <w:jc w:val="both"/>
        <w:ind w:left="4"/>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with Data Privacy Laws</w:t>
      </w:r>
      <w:r>
        <w:rPr>
          <w:rFonts w:ascii="Times New Roman" w:cs="Times New Roman" w:eastAsia="Times New Roman" w:hAnsi="Times New Roman"/>
          <w:sz w:val="18"/>
          <w:szCs w:val="18"/>
          <w:color w:val="auto"/>
        </w:rPr>
        <w:t>. (i) The Company and the Subsidiaries are, and at all times during the past three years were, in compliance with all applicable data privacy and security laws and regulations, including, as applicable, the European Union General Data Protection Regulation (“</w:t>
      </w:r>
      <w:r>
        <w:rPr>
          <w:rFonts w:ascii="Times New Roman" w:cs="Times New Roman" w:eastAsia="Times New Roman" w:hAnsi="Times New Roman"/>
          <w:sz w:val="18"/>
          <w:szCs w:val="18"/>
          <w:u w:val="single" w:color="auto"/>
          <w:color w:val="auto"/>
        </w:rPr>
        <w:t>GDPR</w:t>
      </w:r>
      <w:r>
        <w:rPr>
          <w:rFonts w:ascii="Times New Roman" w:cs="Times New Roman" w:eastAsia="Times New Roman" w:hAnsi="Times New Roman"/>
          <w:sz w:val="18"/>
          <w:szCs w:val="18"/>
          <w:color w:val="auto"/>
        </w:rPr>
        <w:t>”) (EU 2016/679) (collectively, “</w:t>
      </w:r>
      <w:r>
        <w:rPr>
          <w:rFonts w:ascii="Times New Roman" w:cs="Times New Roman" w:eastAsia="Times New Roman" w:hAnsi="Times New Roman"/>
          <w:sz w:val="18"/>
          <w:szCs w:val="18"/>
          <w:u w:val="single" w:color="auto"/>
          <w:color w:val="auto"/>
        </w:rPr>
        <w:t>Privacy Laws</w:t>
      </w:r>
      <w:r>
        <w:rPr>
          <w:rFonts w:ascii="Times New Roman" w:cs="Times New Roman" w:eastAsia="Times New Roman" w:hAnsi="Times New Roman"/>
          <w:sz w:val="18"/>
          <w:szCs w:val="18"/>
          <w:color w:val="auto"/>
        </w:rPr>
        <w:t>”); (ii) the Company and the Subsidiaries have in place, comply with, and take appropriate steps reasonably designed to ensure compliance with their policies and procedures relating to data privacy and security and the collection, storage, use, disclosure, handling and analysis of Personal Data (the “</w:t>
      </w:r>
      <w:r>
        <w:rPr>
          <w:rFonts w:ascii="Times New Roman" w:cs="Times New Roman" w:eastAsia="Times New Roman" w:hAnsi="Times New Roman"/>
          <w:sz w:val="18"/>
          <w:szCs w:val="18"/>
          <w:u w:val="single" w:color="auto"/>
          <w:color w:val="auto"/>
        </w:rPr>
        <w:t>Policies</w:t>
      </w:r>
      <w:r>
        <w:rPr>
          <w:rFonts w:ascii="Times New Roman" w:cs="Times New Roman" w:eastAsia="Times New Roman" w:hAnsi="Times New Roman"/>
          <w:sz w:val="18"/>
          <w:szCs w:val="18"/>
          <w:color w:val="auto"/>
        </w:rPr>
        <w:t>”); (iii) the Company provides accurate notice of its applicable Policies to its customers, employees, third party vendors and representatives as required by Privacy Laws; and (iv) applicable Policies provide accurate and sufficient notice of the Company’s then-current privacy practices relating to its subject matter, and do not contain any material omissions of the Company’s then-current privacy practices, as required by Privacy Laws. “</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means (i) a natural person’s name, street address, telephone number, email address, photograph, social security number, bank information, or customer or account number;</w:t>
      </w:r>
    </w:p>
    <w:p>
      <w:pPr>
        <w:spacing w:after="0" w:line="6" w:lineRule="exact"/>
        <w:rPr>
          <w:sz w:val="20"/>
          <w:szCs w:val="20"/>
          <w:color w:val="auto"/>
        </w:rPr>
      </w:pPr>
    </w:p>
    <w:p>
      <w:pPr>
        <w:jc w:val="both"/>
        <w:ind w:left="4" w:hanging="4"/>
        <w:spacing w:after="0" w:line="251" w:lineRule="auto"/>
        <w:tabs>
          <w:tab w:leader="none" w:pos="29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information which would qualify as “personally identifying information” under the Federal Trade Commission Act, as amended; (iii) “personal data” as defined by GDPR; and (iv) any other piece of information that allows the identification of such natural person, or his or her family, or permits the collection or analysis of any identifiable data related to an identified person’s health or sexual orientation. (i) None of such disclosures made or contained in any of the Policies have been inaccurate, misleading, or deceptive in violation of any Privacy Laws and (ii) the execution, delivery and performance of this Agreement will not result in a breach of any Privacy Laws or Policies. Neither the Company nor the Subsidiaries, (i) has, to the knowledge of the Company, received written notice of any actual or potential liability of the Company or the Subsidiaries under, or actual or potential violation by the Company or the Subsidiaries of, any of the Privacy Laws; (ii) is currently conducting or paying for, in whole or in part, any investigation, remediation or other corrective action pursuant to any regulatory request or demand pursuant to any Privacy Law; or (iii) is a party to any order, decree, or agreement by or with any court or arbitrator or governmental or regulatory authority that imposed any obligation or liability under any Privacy Law.”</w:t>
      </w:r>
    </w:p>
    <w:p>
      <w:pPr>
        <w:spacing w:after="0" w:line="1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10. Section 4(l) of the ATM Agreement is hereby amended and restated in its entirety as follows:</w:t>
      </w:r>
    </w:p>
    <w:p>
      <w:pPr>
        <w:spacing w:after="0" w:line="225" w:lineRule="exact"/>
        <w:rPr>
          <w:sz w:val="20"/>
          <w:szCs w:val="20"/>
          <w:color w:val="auto"/>
        </w:rPr>
      </w:pPr>
    </w:p>
    <w:p>
      <w:pPr>
        <w:jc w:val="both"/>
        <w:ind w:left="4"/>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Bring Down Opinions; Negative Assurance</w:t>
      </w:r>
      <w:r>
        <w:rPr>
          <w:rFonts w:ascii="Times New Roman" w:cs="Times New Roman" w:eastAsia="Times New Roman" w:hAnsi="Times New Roman"/>
          <w:sz w:val="18"/>
          <w:szCs w:val="18"/>
          <w:color w:val="auto"/>
        </w:rPr>
        <w:t>. Unless waived by the Manager, the Company shall furnish or cause to be furnished forthwith to the Manager and to counsel to the Manager a written opinion of Mintz, Levin, Cohn, Ferris, Glovsky and Popeo, P.C. (“</w:t>
      </w:r>
      <w:r>
        <w:rPr>
          <w:rFonts w:ascii="Times New Roman" w:cs="Times New Roman" w:eastAsia="Times New Roman" w:hAnsi="Times New Roman"/>
          <w:sz w:val="18"/>
          <w:szCs w:val="18"/>
          <w:u w:val="single" w:color="auto"/>
          <w:color w:val="auto"/>
        </w:rPr>
        <w:t>Mintz</w:t>
      </w:r>
      <w:r>
        <w:rPr>
          <w:rFonts w:ascii="Times New Roman" w:cs="Times New Roman" w:eastAsia="Times New Roman" w:hAnsi="Times New Roman"/>
          <w:sz w:val="18"/>
          <w:szCs w:val="18"/>
          <w:color w:val="auto"/>
        </w:rPr>
        <w:t>”) addressed to the Manager and dated and delivered on such date, in form and substance reasonably satisfactory to the Manager and a negative assurance representation from Ruskin Moscou Faltischek, P.C. (“</w:t>
      </w:r>
      <w:r>
        <w:rPr>
          <w:rFonts w:ascii="Times New Roman" w:cs="Times New Roman" w:eastAsia="Times New Roman" w:hAnsi="Times New Roman"/>
          <w:sz w:val="18"/>
          <w:szCs w:val="18"/>
          <w:u w:val="single" w:color="auto"/>
          <w:color w:val="auto"/>
        </w:rPr>
        <w:t>Ruskin</w:t>
      </w:r>
      <w:r>
        <w:rPr>
          <w:rFonts w:ascii="Times New Roman" w:cs="Times New Roman" w:eastAsia="Times New Roman" w:hAnsi="Times New Roman"/>
          <w:sz w:val="18"/>
          <w:szCs w:val="18"/>
          <w:color w:val="auto"/>
        </w:rPr>
        <w:t xml:space="preserve">”) addressed to the Manager and dated and delivered on such date, in form and substance reasonably satisfactory to the Manager, at each Representation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requirement for the Company to furnish or cause to be furnished an opinion (but not with respect to a negative assurance representation) under this Section 4(l) shall be waived for any Representation Date other than a Representation Date on which a material amendment to the Registration Statement or Prospectus is made or on which the Company files its Annual Report on Form 10-K or a material amendment thereto under the Exchange Act, unless the Manager reasonably requests, upon a material adverse change in the results of operations, business or condition of the Company, such opinion required by this Section 4(l) in connection with a Representation Date, upon which request such opinion shall be deliverable hereunder. The Manager hereby agrees that each of Mintz and Ruskin may provide a reliance letter for a previously delivered opinion or negative assurance representation, as applicable, stating that such opinion or negative assurance representation may continue to be relied on, in lieu of providing an opinion or negative assurance representation on any such date.”</w:t>
      </w:r>
    </w:p>
    <w:p>
      <w:pPr>
        <w:spacing w:after="0" w:line="187"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8" w:name="page9"/>
    <w:bookmarkEnd w:id="8"/>
    <w:p>
      <w:pPr>
        <w:ind w:left="4"/>
        <w:spacing w:after="0"/>
        <w:rPr>
          <w:sz w:val="20"/>
          <w:szCs w:val="20"/>
          <w:color w:val="auto"/>
        </w:rPr>
      </w:pPr>
      <w:r>
        <w:rPr>
          <w:rFonts w:ascii="Times New Roman" w:cs="Times New Roman" w:eastAsia="Times New Roman" w:hAnsi="Times New Roman"/>
          <w:sz w:val="18"/>
          <w:szCs w:val="18"/>
          <w:color w:val="auto"/>
        </w:rPr>
        <w:t>11. Section 4(l) of the ATM Agreement is hereby amended and restated in its entirety as follows:</w:t>
      </w:r>
    </w:p>
    <w:p>
      <w:pPr>
        <w:spacing w:after="0" w:line="225"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u w:val="single" w:color="auto"/>
          <w:color w:val="auto"/>
        </w:rPr>
        <w:t>“Delivery of Opinion</w:t>
      </w:r>
      <w:r>
        <w:rPr>
          <w:rFonts w:ascii="Times New Roman" w:cs="Times New Roman" w:eastAsia="Times New Roman" w:hAnsi="Times New Roman"/>
          <w:sz w:val="18"/>
          <w:szCs w:val="18"/>
          <w:color w:val="auto"/>
        </w:rPr>
        <w:t>. The Company shall have caused (i) Mintz to furnish its opinion to the Manager and (ii) Ruskin to furnish its negative assurance statement to the Manager, each dated as of such date and addressed to the Manager in form and substance acceptable to the Manager.”</w:t>
      </w:r>
    </w:p>
    <w:p>
      <w:pPr>
        <w:spacing w:after="0" w:line="162" w:lineRule="exact"/>
        <w:rPr>
          <w:sz w:val="20"/>
          <w:szCs w:val="20"/>
          <w:color w:val="auto"/>
        </w:rPr>
      </w:pPr>
    </w:p>
    <w:p>
      <w:pPr>
        <w:ind w:left="264" w:hanging="264"/>
        <w:spacing w:after="0"/>
        <w:tabs>
          <w:tab w:leader="none" w:pos="2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7(a) of the ATM Agreement is hereby amended and restated in its entirety as follows:</w:t>
      </w:r>
    </w:p>
    <w:p>
      <w:pPr>
        <w:spacing w:after="0" w:line="225" w:lineRule="exact"/>
        <w:rPr>
          <w:rFonts w:ascii="Times New Roman" w:cs="Times New Roman" w:eastAsia="Times New Roman" w:hAnsi="Times New Roman"/>
          <w:sz w:val="18"/>
          <w:szCs w:val="18"/>
          <w:color w:val="auto"/>
        </w:rPr>
      </w:pPr>
    </w:p>
    <w:p>
      <w:pPr>
        <w:jc w:val="both"/>
        <w:ind w:left="964" w:hanging="316"/>
        <w:spacing w:after="0" w:line="252" w:lineRule="auto"/>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Company</w:t>
      </w:r>
      <w:r>
        <w:rPr>
          <w:rFonts w:ascii="Times New Roman" w:cs="Times New Roman" w:eastAsia="Times New Roman" w:hAnsi="Times New Roman"/>
          <w:sz w:val="18"/>
          <w:szCs w:val="18"/>
          <w:color w:val="auto"/>
        </w:rPr>
        <w:t xml:space="preserve">. The Company agrees to indemnify and hold harmless the Manager, the directors, officers, employees and agents of the Manager and each person who controls the Manager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for the registration of the Shares as originally filed or in any amendment thereof, or in the Base Prospectus, any Prospectus Supplement, the Prospectus, any Issuer Free Writing Prospectus, or in any amendment thereof or supplement thereto, or arise out of or are based upon the omission or alleged omission to state therein a material fact required to be stated therein or necessary to make the statements therein not misleading or arise out of or are based upon any Proceeding, commenced or threatened (whether or not the Manager is a target of or party to such Proceeding) or result from or relate to any breach of any of the representations, warranties, covenants or agreements made by the Company in this Agreement, and agrees to reimburse each such indemnified party for any legal or other expenses reasonably incurred by them in connection with investigating or defending any such loss, claim, damage, liability or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the Manager specifically for inclusion therein. This indemnity agreement will be in addition to any liability that the Company may otherwise have.”</w:t>
      </w:r>
    </w:p>
    <w:p>
      <w:pPr>
        <w:spacing w:after="0" w:line="19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9" w:name="page10"/>
    <w:bookmarkEnd w:id="9"/>
    <w:p>
      <w:pPr>
        <w:ind w:left="660"/>
        <w:spacing w:after="0"/>
        <w:rPr>
          <w:sz w:val="20"/>
          <w:szCs w:val="20"/>
          <w:color w:val="auto"/>
        </w:rPr>
      </w:pPr>
      <w:r>
        <w:rPr>
          <w:rFonts w:ascii="Times New Roman" w:cs="Times New Roman" w:eastAsia="Times New Roman" w:hAnsi="Times New Roman"/>
          <w:sz w:val="18"/>
          <w:szCs w:val="18"/>
          <w:color w:val="auto"/>
        </w:rPr>
        <w:t>13. The second sentence of Section 13 of the ATM Agreement is hereby amended and restated as follows:</w:t>
      </w:r>
    </w:p>
    <w:p>
      <w:pPr>
        <w:spacing w:after="0" w:line="22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“Notwithstanding anything herein to the contrary, this Agreement shall not supersede the letter agreement, dated May 29, 2024, by and between the Company and the Manager, which shall, to the extent it remains effective in accordance with the terms thereof, continue to survive and be enforceable by the Manager in accordance with its terms, provided that, in the event of a conflict between the terms of the letter agreement and this Agreement, the terms of this Agreement shall prevail.”</w:t>
      </w:r>
    </w:p>
    <w:p>
      <w:pPr>
        <w:spacing w:after="0" w:line="180" w:lineRule="exact"/>
        <w:rPr>
          <w:sz w:val="20"/>
          <w:szCs w:val="20"/>
          <w:color w:val="auto"/>
        </w:rPr>
      </w:pPr>
    </w:p>
    <w:p>
      <w:pPr>
        <w:jc w:val="both"/>
        <w:ind w:firstLine="656"/>
        <w:spacing w:after="0" w:line="266" w:lineRule="auto"/>
        <w:tabs>
          <w:tab w:leader="none" w:pos="92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Wainwright hereby agree that the date hereof shall be a Representation Date under the ATM Agreement and the Company shall file a Prospectus Supplement with the Commission on the date hereof and deliver the deliverables pursuant to Sections 4(k), 4(l) and 4(m) of the ATM Agreement on the date hereof and shall reimburse Wainwright for legal fees and expenses in the amount of $50,000 on the date hereof.</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set forth herein, all of the terms and conditions of the ATM Agreement shall continue in full force and effect after the execution of this Amendment and shall not be in any way be changed, modified or superseded by the terms set forth herein.</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95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may be executed in two or more counterparts and by facsimile or “.pdf” signature or otherwise, and each of such counterparts shall be deemed an original and all of such counterparts together shall constitute one and the same agreement. Counterparts may be delivered via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p>
      <w:pPr>
        <w:ind w:firstLine="648"/>
        <w:spacing w:after="0" w:line="282" w:lineRule="auto"/>
        <w:rPr>
          <w:sz w:val="20"/>
          <w:szCs w:val="20"/>
          <w:color w:val="auto"/>
        </w:rPr>
      </w:pPr>
      <w:r>
        <w:rPr>
          <w:rFonts w:ascii="Times New Roman" w:cs="Times New Roman" w:eastAsia="Times New Roman" w:hAnsi="Times New Roman"/>
          <w:sz w:val="18"/>
          <w:szCs w:val="18"/>
          <w:color w:val="auto"/>
        </w:rPr>
        <w:t>In acknowledgment that the foregoing correctly sets forth the understanding reached by the Company and Wainwright, please sign in the space provided below, whereupon this Amendment shall constitute a binding amendment to the ATM Agreement as of the date indicated above.</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H.C. WAINWRIGHT &amp; CO., LLC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Edward D. Silvera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Edward D. Silvera</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Operating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Harel Gadot</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MBOT AMENDMENT TO ATM AGREEMENT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lowerLetter"/>
      <w:start w:val="25"/>
    </w:lvl>
  </w:abstractNum>
  <w:abstractNum w:abstractNumId="3">
    <w:nsid w:val="46E87CCD"/>
    <w:multiLevelType w:val="hybridMultilevel"/>
    <w:lvl w:ilvl="0">
      <w:lvlJc w:val="left"/>
      <w:lvlText w:val="(%1)"/>
      <w:numFmt w:val="lowerRoman"/>
      <w:start w:val="2"/>
    </w:lvl>
  </w:abstractNum>
  <w:abstractNum w:abstractNumId="4">
    <w:nsid w:val="3D1B58BA"/>
    <w:multiLevelType w:val="hybridMultilevel"/>
    <w:lvl w:ilvl="0">
      <w:lvlJc w:val="left"/>
      <w:lvlText w:val="%1."/>
      <w:numFmt w:val="decimal"/>
      <w:start w:val="12"/>
    </w:lvl>
    <w:lvl w:ilvl="1">
      <w:lvlJc w:val="left"/>
      <w:lvlText w:val="(%2)"/>
      <w:numFmt w:val="lowerLetter"/>
      <w:start w:val="1"/>
    </w:lvl>
  </w:abstractNum>
  <w:abstractNum w:abstractNumId="5">
    <w:nsid w:val="507ED7AB"/>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2024-07-01T15:52:20Z</dcterms:created>
  <dcterms:modified xsi:type="dcterms:W3CDTF">2024-07-01T15:52:20Z</dcterms:modified>
</cp:coreProperties>
</file>