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5.03 of this Current Report on Form 8-K is incorporated by reference into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14, 2025, the Board of Directors of Microbot Medical Inc. (the “Company”) approved an amendment to the Company’s amended and restated by-laws, as amended (the “By-laws”), effective immediately, to reduce the quorum requirement for a meeting of stockholders from a majority of the votes entitled to be cast on the matter to one third of the votes entitled to be cast on the matter.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amendment modified Section 2.5 of the By-Laws, to provide that at any meeting of the stockholders, a quorum as to any matter shall consist of one-third of the votes entitled to be cast on the matter, except where a larger quorum is required by law, by the certificate of incorporation or by the By-Laws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Section 2.5 of the By-Laws does not purport to be complete and is qualified entirely by reference to the full text of Section 2.5 of the By-Laws, which is attached as Exhibit 3.1 hereto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currently intends to hold its annual meeting of stockholders on or about June 10, 2025 (the “2025 Annual Meeting”). The exact date, time and location of the 2025 Annual Meeting will be specified in the Company’s proxy statement for the 2025 Annual Meeting. The record date for the 2025 Annual Meeting is April 15,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Company’s 2025 Annual Meeting has been changed by more than 30 calendar days from the date of the previous year’s meeting, the Company is affirming the deadline for receipt of qualified stockholder proposals submitted pursuant to Rule 14a-8 of the Securities Exchange Act of 1934, as amended (the “Exchange Act”), for inclusion in the Company’s proxy materials for the 2025 Annual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deadline for the receipt of any qualified stockholder proposals submitted pursuant to Rule 14a-8 under the Exchange Act shall be not later than the close of business on April 28, 2025. In addition, any qualified stockholder seeking to have a nominee to the Board of Directors to be included in the Company’s proxy materials for the 2025 Annual Meeting must provide notice to the Company of its intent to do so on a Schedule 14N and file that notice with the Securities and Exchange Commission (the “SEC”) on or before April 28,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Qualified stockholder proposals must be received by the Company at its principal executive offices located at 175 Derby St., Bld. 27, Hingham, MA 02043, addressed to the Secretary of the Company. All proposals must comply with applicable Delaware law, the rules and regulations promulgated by the SEC and the procedures set forth in the Company’s Amended and Restated Bylaws, as amended.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Amendment to Section 2.5 of the Amended and Restated By-Laws</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Quorum of Stockholders</w:t>
      </w:r>
      <w:r>
        <w:rPr>
          <w:rFonts w:ascii="Times New Roman" w:cs="Times New Roman" w:eastAsia="Times New Roman" w:hAnsi="Times New Roman"/>
          <w:sz w:val="18"/>
          <w:szCs w:val="18"/>
          <w:color w:val="auto"/>
        </w:rPr>
        <w:t>. At any meeting of the stockholders a quorum as to any matter shall consist of one-third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2025-04-15T07:36:20Z</dcterms:created>
  <dcterms:modified xsi:type="dcterms:W3CDTF">2025-04-15T07:36:20Z</dcterms:modified>
</cp:coreProperties>
</file>