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048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4888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Gadot Harel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MICROBOT MEDICAL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288 GROVE STREET, SUITE 388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Microbot Medical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MBOT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BRAINTREE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02184</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228,000</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2.04</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81"/>
              <w:spacing w:after="0" w:line="140" w:lineRule="exact"/>
              <w:rPr>
                <w:sz w:val="20"/>
                <w:szCs w:val="20"/>
                <w:color w:val="auto"/>
              </w:rPr>
            </w:pPr>
            <w:r>
              <w:rPr>
                <w:rFonts w:ascii="Times New Roman" w:cs="Times New Roman" w:eastAsia="Times New Roman" w:hAnsi="Times New Roman"/>
                <w:sz w:val="13"/>
                <w:szCs w:val="13"/>
                <w:color w:val="0000FF"/>
              </w:rPr>
              <w:t>228,000</w:t>
            </w: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02/05/2035</w:t>
            </w: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02"/>
              <w:spacing w:after="0" w:line="140" w:lineRule="exact"/>
              <w:rPr>
                <w:sz w:val="20"/>
                <w:szCs w:val="20"/>
                <w:color w:val="auto"/>
              </w:rPr>
            </w:pPr>
            <w:r>
              <w:rPr>
                <w:rFonts w:ascii="Times New Roman" w:cs="Times New Roman" w:eastAsia="Times New Roman" w:hAnsi="Times New Roman"/>
                <w:sz w:val="13"/>
                <w:szCs w:val="13"/>
                <w:color w:val="0000FF"/>
              </w:rPr>
              <w:t>228,000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$0.01 per</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share</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6"/>
                <w:szCs w:val="6"/>
                <w:color w:val="auto"/>
              </w:rPr>
            </w:pPr>
          </w:p>
        </w:tc>
        <w:tc>
          <w:tcPr>
            <w:tcW w:w="1060" w:type="dxa"/>
            <w:vAlign w:val="bottom"/>
            <w:vMerge w:val="restart"/>
          </w:tcPr>
          <w:p>
            <w:pPr>
              <w:jc w:val="center"/>
              <w:ind w:right="80"/>
              <w:spacing w:after="0"/>
              <w:rPr>
                <w:sz w:val="20"/>
                <w:szCs w:val="20"/>
                <w:color w:val="auto"/>
              </w:rPr>
            </w:pPr>
            <w:r>
              <w:rPr>
                <w:rFonts w:ascii="Times New Roman" w:cs="Times New Roman" w:eastAsia="Times New Roman" w:hAnsi="Times New Roman"/>
                <w:sz w:val="13"/>
                <w:szCs w:val="13"/>
                <w:color w:val="0000FF"/>
              </w:rPr>
              <w:t>02/26/2024</w:t>
            </w:r>
            <w:r>
              <w:rPr>
                <w:rFonts w:ascii="Times New Roman" w:cs="Times New Roman" w:eastAsia="Times New Roman" w:hAnsi="Times New Roman"/>
                <w:sz w:val="21"/>
                <w:szCs w:val="21"/>
                <w:color w:val="008000"/>
                <w:vertAlign w:val="superscript"/>
              </w:rPr>
              <w:t>(2)</w:t>
            </w: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12,000</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w:t>
            </w: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12,000</w:t>
            </w:r>
          </w:p>
        </w:tc>
        <w:tc>
          <w:tcPr>
            <w:tcW w:w="220" w:type="dxa"/>
            <w:vAlign w:val="bottom"/>
          </w:tcPr>
          <w:p>
            <w:pPr>
              <w:spacing w:after="0"/>
              <w:rPr>
                <w:sz w:val="5"/>
                <w:szCs w:val="5"/>
                <w:color w:val="auto"/>
              </w:rPr>
            </w:pPr>
          </w:p>
        </w:tc>
        <w:tc>
          <w:tcPr>
            <w:tcW w:w="780" w:type="dxa"/>
            <w:vAlign w:val="bottom"/>
            <w:vMerge w:val="restart"/>
          </w:tcPr>
          <w:p>
            <w:pPr>
              <w:jc w:val="right"/>
              <w:ind w:right="42"/>
              <w:spacing w:after="0"/>
              <w:rPr>
                <w:sz w:val="20"/>
                <w:szCs w:val="20"/>
                <w:color w:val="auto"/>
              </w:rPr>
            </w:pPr>
            <w:r>
              <w:rPr>
                <w:rFonts w:ascii="Times New Roman" w:cs="Times New Roman" w:eastAsia="Times New Roman" w:hAnsi="Times New Roman"/>
                <w:sz w:val="13"/>
                <w:szCs w:val="13"/>
                <w:color w:val="0000FF"/>
              </w:rPr>
              <w:t>02/05/2025</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02/26/2034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par value</w:t>
            </w: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22"/>
              <w:spacing w:after="0"/>
              <w:rPr>
                <w:sz w:val="20"/>
                <w:szCs w:val="20"/>
                <w:color w:val="auto"/>
              </w:rPr>
            </w:pPr>
            <w:r>
              <w:rPr>
                <w:rFonts w:ascii="Times New Roman" w:cs="Times New Roman" w:eastAsia="Times New Roman" w:hAnsi="Times New Roman"/>
                <w:sz w:val="13"/>
                <w:szCs w:val="13"/>
                <w:color w:val="0000FF"/>
              </w:rPr>
              <w:t>12,000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6"/>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720" w:type="dxa"/>
            <w:vAlign w:val="bottom"/>
          </w:tcPr>
          <w:p>
            <w:pPr>
              <w:jc w:val="center"/>
              <w:ind w:left="3176"/>
              <w:spacing w:after="0" w:line="126" w:lineRule="exact"/>
              <w:rPr>
                <w:sz w:val="20"/>
                <w:szCs w:val="20"/>
                <w:color w:val="auto"/>
              </w:rPr>
            </w:pPr>
            <w:r>
              <w:rPr>
                <w:rFonts w:ascii="Times New Roman" w:cs="Times New Roman" w:eastAsia="Times New Roman" w:hAnsi="Times New Roman"/>
                <w:sz w:val="13"/>
                <w:szCs w:val="13"/>
                <w:color w:val="0000FF"/>
                <w:w w:val="97"/>
              </w:rPr>
              <w:t>$0.01 per</w:t>
            </w:r>
          </w:p>
        </w:tc>
        <w:tc>
          <w:tcPr>
            <w:tcW w:w="0" w:type="dxa"/>
            <w:vAlign w:val="bottom"/>
          </w:tcPr>
          <w:p>
            <w:pPr>
              <w:spacing w:after="0"/>
              <w:rPr>
                <w:sz w:val="1"/>
                <w:szCs w:val="1"/>
                <w:color w:val="auto"/>
              </w:rPr>
            </w:pPr>
          </w:p>
        </w:tc>
      </w:tr>
      <w:tr>
        <w:trPr>
          <w:trHeight w:val="89"/>
        </w:trPr>
        <w:tc>
          <w:tcPr>
            <w:tcW w:w="3480" w:type="dxa"/>
            <w:vAlign w:val="bottom"/>
            <w:vMerge w:val="continue"/>
          </w:tcPr>
          <w:p>
            <w:pPr>
              <w:spacing w:after="0"/>
              <w:rPr>
                <w:sz w:val="7"/>
                <w:szCs w:val="7"/>
                <w:color w:val="auto"/>
              </w:rPr>
            </w:pPr>
          </w:p>
        </w:tc>
        <w:tc>
          <w:tcPr>
            <w:tcW w:w="3720" w:type="dxa"/>
            <w:vAlign w:val="bottom"/>
            <w:vMerge w:val="restart"/>
          </w:tcPr>
          <w:p>
            <w:pPr>
              <w:jc w:val="center"/>
              <w:ind w:left="3156"/>
              <w:spacing w:after="0"/>
              <w:rPr>
                <w:sz w:val="20"/>
                <w:szCs w:val="20"/>
                <w:color w:val="auto"/>
              </w:rPr>
            </w:pPr>
            <w:r>
              <w:rPr>
                <w:rFonts w:ascii="Times New Roman" w:cs="Times New Roman" w:eastAsia="Times New Roman" w:hAnsi="Times New Roman"/>
                <w:sz w:val="13"/>
                <w:szCs w:val="13"/>
                <w:color w:val="0000FF"/>
                <w:w w:val="94"/>
              </w:rPr>
              <w:t>share</w:t>
            </w:r>
          </w:p>
        </w:tc>
        <w:tc>
          <w:tcPr>
            <w:tcW w:w="0" w:type="dxa"/>
            <w:vAlign w:val="bottom"/>
          </w:tcPr>
          <w:p>
            <w:pPr>
              <w:spacing w:after="0"/>
              <w:rPr>
                <w:sz w:val="1"/>
                <w:szCs w:val="1"/>
                <w:color w:val="auto"/>
              </w:rPr>
            </w:pPr>
          </w:p>
        </w:tc>
      </w:tr>
      <w:tr>
        <w:trPr>
          <w:trHeight w:val="76"/>
        </w:trPr>
        <w:tc>
          <w:tcPr>
            <w:tcW w:w="3480" w:type="dxa"/>
            <w:vAlign w:val="bottom"/>
          </w:tcPr>
          <w:p>
            <w:pPr>
              <w:spacing w:after="0"/>
              <w:rPr>
                <w:sz w:val="6"/>
                <w:szCs w:val="6"/>
                <w:color w:val="auto"/>
              </w:rPr>
            </w:pPr>
          </w:p>
        </w:tc>
        <w:tc>
          <w:tcPr>
            <w:tcW w:w="3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3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as follows and in accordance with the terms of the Issuer's 2020 Omnibus Performance Award Plan (the "Plan"): (a) on August 5, 2025, the option shall vest and shall become exercisable with respect to 25% of the common stock; and (b) on a quarterly basis over the next 30 months, the option shall equally vest and become exercisable with respect to the remaining 75% of the common stock, subject to acceleration pursuant to the terms of the Plan.</w:t>
      </w:r>
    </w:p>
    <w:p>
      <w:pPr>
        <w:spacing w:after="0" w:line="25" w:lineRule="exact"/>
        <w:rPr>
          <w:rFonts w:ascii="Times New Roman" w:cs="Times New Roman" w:eastAsia="Times New Roman" w:hAnsi="Times New Roman"/>
          <w:sz w:val="13"/>
          <w:szCs w:val="13"/>
          <w:color w:val="008000"/>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options, granted on February 26, 2024, were performance-based options the vesting of which was subject to the satisfaction of milestones. On February 5, 2025, the Compensation Committee of the Board of Directors of the Issuer confirmed and determined that the milestones with respect to 12,000 options have been met and, accordingly, vested.</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Harel Gadot</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02/07/2025</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90103" TargetMode="External"/><Relationship Id="rId14"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2025-02-07T15:44:53Z</dcterms:created>
  <dcterms:modified xsi:type="dcterms:W3CDTF">2025-02-07T15:44:53Z</dcterms:modified>
</cp:coreProperties>
</file>