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26,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21"/>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288 Grove Street, Suite 388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Braintree, MA 02184</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As of January 26, 2024 (the “Effective Date”), Microbot Medical Inc. (the “Company”) entered into a Settlement Agreement and Release (the “Settlement Agreement”) with Empery Asset Master Ltd., Empery Tax Efficient, LP, Empery Tax Efficient III, LP and Hudson Bay Master Fund Ltd. (collectively, “Plaintiffs”), which resolved and settled the below referenced litigation between the Company and Plaintiffs. The Company previously announced that it was a defendant in a lawsuit captioned </w:t>
      </w:r>
      <w:r>
        <w:rPr>
          <w:rFonts w:ascii="Times New Roman" w:cs="Times New Roman" w:eastAsia="Times New Roman" w:hAnsi="Times New Roman"/>
          <w:sz w:val="18"/>
          <w:szCs w:val="18"/>
          <w:i w:val="1"/>
          <w:iCs w:val="1"/>
          <w:color w:val="auto"/>
        </w:rPr>
        <w:t>Empery Asset Master Ltd., Empery Tax Efficient, LP, Empery Tax Efficient II, LP, Hudson Bay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Master Fund Ltd., Plaintiffs, against Microbot Medical Inc., Defendant</w:t>
      </w:r>
      <w:r>
        <w:rPr>
          <w:rFonts w:ascii="Times New Roman" w:cs="Times New Roman" w:eastAsia="Times New Roman" w:hAnsi="Times New Roman"/>
          <w:sz w:val="18"/>
          <w:szCs w:val="18"/>
          <w:color w:val="auto"/>
        </w:rPr>
        <w:t>, in the Supreme Court of the State of New York, County of New York (Index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651182/2020) (the “Lawsuit”), pursuant to which the Plaintiffs alleged, among other things, that the Company breached multiple representations and warranties contained in the Securities Purchase Agreement (the “SPA”) related to the Company’s June 8, 2017 equity financing (the “Financing”), of which the Plaintiffs participated, and fraudulently induced Plaintiffs into signing the SPA. The complaint sought rescission of the SPA and return of the Plaintiffs’ $6.75 million purchase price with respect to the Financing.</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Settlement Agreement, the Company agreed to pay Plaintiffs $2,154,000 (the “Total Settlement Amount”), consisting of a cash payment covered by the Company’s insurance carrier of $1,100,000 and 1,005,965 shares of restricted Company common stock (the “Shares”), which Shares represent the whole number of restricted shares of Company common stock calculated pursuant to the following formula: $1,054,000/[closing price of Company common stock on the Effective Date * 0.825]. Additionally, the Plaintiffs and the Company each agreed to fully release the other from all claims arising out of the Financing, the SPA and/or the allegations and claims asserted in the Lawsuit, subject to customary carve-outs.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also agreed, pursuant to a Registration Rights Agreement (the “Registration Rights Agreement”), to file a registration statement on Form S-1 or Form S-3 covering the resale of the Shares (the “Resale Registration Statement”), within 30 calendar days following the Effective Date, and to use reasonable best efforts to have such Resale Registration Statement declared effective by the SEC within 60 days (or, in the event of a “full review” by the Securities and Exchange Commission, within 90 days) following the Effective Date. The Company shall be required to make cash payments to the Plaintiffs in the event the Company fails to register the Shares and keep the registration statement effective pursuant to the terms of the Registration Rights Agreement, and if the Company fails to remove the restrictions on the Shares pursuant to the terms of the Settlement Agreement.</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Within three business days of Plaintiffs’ receipt of the Total Settlement Amount, Plaintiffs will file a stipulation discontinuing the Lawsuit with prejudice.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Settlement Agreement and Registration Rights Agreement are attached as Exhibits 10.1 and 10.2, respectively, to this Current Report on Form 8-K. The description of the terms of the Settlement Agreement and the Registration Rights Agreement is not intended to be complete and is qualified in its entirety by reference to such exhibits.</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Sales of Equity Securities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issued the Shares pursuant to the exemption from the registration requirements of the Securities Act of 1933, as amended (the “Securities Act”), available under Section 4(a)(2) as a transaction by an issuer not involving any public offering. The issuance of the Shares has not been registered under the Securities Act and such securities may not be offered or sold in the United States absent registration or an exemption from registration under the Securities Act and any applicable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January 30, 2024, the Company issued a press release announcing that it had entered into the Settlement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January 29, 2024, the Company submitted an Investigational Device Exemption (IDE) application with the U.S. Food and Drug Administration, in order to commence its pivotal clinical trial in humans.</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tab/>
        <w:t>Financial Statetments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4"/>
                <w:szCs w:val="24"/>
                <w:color w:val="auto"/>
              </w:rPr>
            </w:pPr>
          </w:p>
        </w:tc>
        <w:tc>
          <w:tcPr>
            <w:tcW w:w="4640" w:type="dxa"/>
            <w:vAlign w:val="bottom"/>
            <w:tcBorders>
              <w:top w:val="single" w:sz="8" w:color="auto"/>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Settlement Agreement and Release dated as of January 26, 2024</w:t>
            </w:r>
          </w:p>
        </w:tc>
        <w:tc>
          <w:tcPr>
            <w:tcW w:w="5440" w:type="dxa"/>
            <w:vAlign w:val="bottom"/>
            <w:tcBorders>
              <w:top w:val="single" w:sz="8" w:color="auto"/>
            </w:tcBorders>
          </w:tcPr>
          <w:p>
            <w:pPr>
              <w:spacing w:after="0"/>
              <w:rPr>
                <w:sz w:val="24"/>
                <w:szCs w:val="24"/>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17"/>
                <w:szCs w:val="17"/>
                <w:color w:val="auto"/>
              </w:rPr>
            </w:pPr>
          </w:p>
        </w:tc>
        <w:tc>
          <w:tcPr>
            <w:tcW w:w="43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Registration Rights Agreement dated as of January 26, 2024</w:t>
            </w:r>
          </w:p>
        </w:tc>
        <w:tc>
          <w:tcPr>
            <w:tcW w:w="5720" w:type="dxa"/>
            <w:vAlign w:val="bottom"/>
            <w:gridSpan w:val="2"/>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80" w:type="dxa"/>
            <w:vAlign w:val="bottom"/>
          </w:tcPr>
          <w:p>
            <w:pPr>
              <w:spacing w:after="0"/>
              <w:rPr>
                <w:sz w:val="17"/>
                <w:szCs w:val="17"/>
                <w:color w:val="auto"/>
              </w:rPr>
            </w:pPr>
          </w:p>
        </w:tc>
        <w:tc>
          <w:tcPr>
            <w:tcW w:w="27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Press release, dated January 30, 2024</w:t>
            </w:r>
          </w:p>
        </w:tc>
        <w:tc>
          <w:tcPr>
            <w:tcW w:w="7380" w:type="dxa"/>
            <w:vAlign w:val="bottom"/>
            <w:gridSpan w:val="3"/>
          </w:tcPr>
          <w:p>
            <w:pPr>
              <w:spacing w:after="0"/>
              <w:rPr>
                <w:sz w:val="17"/>
                <w:szCs w:val="17"/>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0"/>
                <w:szCs w:val="20"/>
                <w:color w:val="auto"/>
              </w:rPr>
            </w:pPr>
          </w:p>
        </w:tc>
        <w:tc>
          <w:tcPr>
            <w:tcW w:w="10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SETTLEMENT AGREEMENT AND RELEASE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Settlement Agreement and Release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this 26th day of January, 2024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between Empery Asset Master Ltd., Empery Tax Efficient, LP, Empery Tax Efficient III, LP (“</w:t>
      </w:r>
      <w:r>
        <w:rPr>
          <w:rFonts w:ascii="Times New Roman" w:cs="Times New Roman" w:eastAsia="Times New Roman" w:hAnsi="Times New Roman"/>
          <w:sz w:val="18"/>
          <w:szCs w:val="18"/>
          <w:u w:val="single" w:color="auto"/>
          <w:color w:val="auto"/>
        </w:rPr>
        <w:t>Empery</w:t>
      </w:r>
      <w:r>
        <w:rPr>
          <w:rFonts w:ascii="Times New Roman" w:cs="Times New Roman" w:eastAsia="Times New Roman" w:hAnsi="Times New Roman"/>
          <w:sz w:val="18"/>
          <w:szCs w:val="18"/>
          <w:color w:val="auto"/>
        </w:rPr>
        <w:t>”) and Hudson Bay Master Fund Ltd. (“</w:t>
      </w:r>
      <w:r>
        <w:rPr>
          <w:rFonts w:ascii="Times New Roman" w:cs="Times New Roman" w:eastAsia="Times New Roman" w:hAnsi="Times New Roman"/>
          <w:sz w:val="18"/>
          <w:szCs w:val="18"/>
          <w:u w:val="single" w:color="auto"/>
          <w:color w:val="auto"/>
        </w:rPr>
        <w:t>Hudson Bay</w:t>
      </w:r>
      <w:r>
        <w:rPr>
          <w:rFonts w:ascii="Times New Roman" w:cs="Times New Roman" w:eastAsia="Times New Roman" w:hAnsi="Times New Roman"/>
          <w:sz w:val="18"/>
          <w:szCs w:val="18"/>
          <w:color w:val="auto"/>
        </w:rPr>
        <w:t>” together with Empery, “</w:t>
      </w:r>
      <w:r>
        <w:rPr>
          <w:rFonts w:ascii="Times New Roman" w:cs="Times New Roman" w:eastAsia="Times New Roman" w:hAnsi="Times New Roman"/>
          <w:sz w:val="18"/>
          <w:szCs w:val="18"/>
          <w:u w:val="single" w:color="auto"/>
          <w:color w:val="auto"/>
        </w:rPr>
        <w:t>Plaintiffs</w:t>
      </w:r>
      <w:r>
        <w:rPr>
          <w:rFonts w:ascii="Times New Roman" w:cs="Times New Roman" w:eastAsia="Times New Roman" w:hAnsi="Times New Roman"/>
          <w:sz w:val="18"/>
          <w:szCs w:val="18"/>
          <w:color w:val="auto"/>
        </w:rPr>
        <w:t>”) on the one hand and Microbot Medical Inc. (“</w:t>
      </w:r>
      <w:r>
        <w:rPr>
          <w:rFonts w:ascii="Times New Roman" w:cs="Times New Roman" w:eastAsia="Times New Roman" w:hAnsi="Times New Roman"/>
          <w:sz w:val="18"/>
          <w:szCs w:val="18"/>
          <w:u w:val="single" w:color="auto"/>
          <w:color w:val="auto"/>
        </w:rPr>
        <w:t>Microbot</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the other hand. Empery, Hudson Bay, and Microbot are referred to herein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entered into a Securities Purchase Agreement dated June 5, 2017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SPA</w:t>
      </w:r>
      <w:r>
        <w:rPr>
          <w:rFonts w:ascii="Times New Roman" w:cs="Times New Roman" w:eastAsia="Times New Roman" w:hAnsi="Times New Roman"/>
          <w:sz w:val="18"/>
          <w:szCs w:val="18"/>
          <w:color w:val="auto"/>
        </w:rPr>
        <w:t>) whereby Empery and Hudson Bay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purchased 1,250,000 shares of Microbot stock for a purchase price of $3,375,000 (the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part of the Offering, Plaintiffs received a Disclosure Schedule that contained a footnote in a “MBOT CAP TABLE” stating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“Alpha Capital Anstalt, an affiliate of the Company,” was the holder of “‘toothless’ preferred stock that converts into 11,916,000 shares of common stock subject to conversion limitations”;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Plaintiffs allege that Alpha Capital Anstalt (“</w:t>
      </w:r>
      <w:r>
        <w:rPr>
          <w:rFonts w:ascii="Times New Roman" w:cs="Times New Roman" w:eastAsia="Times New Roman" w:hAnsi="Times New Roman"/>
          <w:sz w:val="18"/>
          <w:szCs w:val="18"/>
          <w:u w:val="single" w:color="auto"/>
          <w:color w:val="auto"/>
        </w:rPr>
        <w:t>Alpha</w:t>
      </w:r>
      <w:r>
        <w:rPr>
          <w:rFonts w:ascii="Times New Roman" w:cs="Times New Roman" w:eastAsia="Times New Roman" w:hAnsi="Times New Roman"/>
          <w:sz w:val="18"/>
          <w:szCs w:val="18"/>
          <w:color w:val="auto"/>
        </w:rPr>
        <w:t>”) was not an affiliate of Microbot at the time of the Offering and that Microbot’s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alleged representation that Alpha was an affiliate was a material misrepresentation upon which Plaintiffs relied;</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after initially entering into a tolling and standstill agreement which thereafter expired, Plaintiffs filed a lawsuit on February 21, 2020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Supreme Court of the State of New York, New York County (the “</w:t>
      </w:r>
      <w:r>
        <w:rPr>
          <w:rFonts w:ascii="Times New Roman" w:cs="Times New Roman" w:eastAsia="Times New Roman" w:hAnsi="Times New Roman"/>
          <w:sz w:val="18"/>
          <w:szCs w:val="18"/>
          <w:u w:val="single" w:color="auto"/>
          <w:color w:val="auto"/>
        </w:rPr>
        <w:t>Lawsuit</w:t>
      </w:r>
      <w:r>
        <w:rPr>
          <w:rFonts w:ascii="Times New Roman" w:cs="Times New Roman" w:eastAsia="Times New Roman" w:hAnsi="Times New Roman"/>
          <w:sz w:val="18"/>
          <w:szCs w:val="18"/>
          <w:color w:val="auto"/>
        </w:rPr>
        <w:t>”) alleging that Microbot materially breached the SPA and sought, among other relief, rescission of the SPA;</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Microbot denies the allegations in the Lawsuit and denies any liability to Plaintiffs with respect to the Lawsuit, the Offering, and/or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SPA;</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to avoid the uncertainty, expense, and burden of litigation, the Parties desire to resolve the dispute between them upon the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manner provided in this Agreement, with no Party admitting nor acknowledging any fault or liability to any other Party.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covenants and agreements set forth in this Agreement and the RRA (as defined below) and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good and valuable consideration, the receipt and sufficiency of which are hereby acknowledged, the Parties agree as follows:</w:t>
      </w:r>
    </w:p>
    <w:p>
      <w:pPr>
        <w:spacing w:after="0" w:line="159" w:lineRule="exact"/>
        <w:rPr>
          <w:sz w:val="20"/>
          <w:szCs w:val="20"/>
          <w:color w:val="auto"/>
        </w:rPr>
      </w:pPr>
    </w:p>
    <w:p>
      <w:pPr>
        <w:jc w:val="both"/>
        <w:ind w:firstLine="656"/>
        <w:spacing w:after="0" w:line="258" w:lineRule="auto"/>
        <w:tabs>
          <w:tab w:leader="none" w:pos="841" w:val="left"/>
        </w:tabs>
        <w:numPr>
          <w:ilvl w:val="0"/>
          <w:numId w:val="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Settlement Amount</w:t>
      </w:r>
      <w:r>
        <w:rPr>
          <w:rFonts w:ascii="Times New Roman" w:cs="Times New Roman" w:eastAsia="Times New Roman" w:hAnsi="Times New Roman"/>
          <w:sz w:val="18"/>
          <w:szCs w:val="18"/>
          <w:color w:val="auto"/>
        </w:rPr>
        <w:t xml:space="preserve">. Microbot agrees to pay Plaintiffs two million one hundred fifty four thousand dollars ($2,154,000) (the </w:t>
      </w:r>
      <w:r>
        <w:rPr>
          <w:rFonts w:ascii="Times New Roman" w:cs="Times New Roman" w:eastAsia="Times New Roman" w:hAnsi="Times New Roman"/>
          <w:sz w:val="18"/>
          <w:szCs w:val="18"/>
          <w:u w:val="single" w:color="auto"/>
          <w:color w:val="auto"/>
        </w:rPr>
        <w:t>Total Settlement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consisting of a cash payment of one million one hundred thousand dollars ($1,100,000) (the “Cash Settlement Portion”) and the whole number of restricted shares of Microbot common stock calculated pursuant to the following formula: $1,054,000/[closing price of Microbot common stock on the Effective Date * 0.825] (the “Stock Settlement Portion”). For the avoidance of doubt, the Parties agree that the Stock Settlement Portion equals one million five thousand nine hundred sixty-five (1,005,965) shares of restricted Microbot common stock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010000"/>
        </w:rPr>
      </w:pPr>
    </w:p>
    <w:p>
      <w:pPr>
        <w:jc w:val="both"/>
        <w:ind w:right="20" w:firstLine="656"/>
        <w:spacing w:after="0" w:line="266" w:lineRule="auto"/>
        <w:tabs>
          <w:tab w:leader="none" w:pos="828" w:val="left"/>
        </w:tabs>
        <w:numPr>
          <w:ilvl w:val="0"/>
          <w:numId w:val="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Registration Rights Agreement. Contemporaneously with the execution of this Agreement, each of the Parties will execute and delivery to the other Parties a registration rights agreement in form and substance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“RRA”) which governs the Company’s obligations to file a registration statement covering the Shares and cause such registration statement to be declared effective and be maintained.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ind w:left="184" w:hanging="184"/>
        <w:spacing w:after="0"/>
        <w:tabs>
          <w:tab w:leader="none" w:pos="184" w:val="left"/>
        </w:tabs>
        <w:numPr>
          <w:ilvl w:val="0"/>
          <w:numId w:val="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Settlement Payment.</w:t>
      </w:r>
    </w:p>
    <w:p>
      <w:pPr>
        <w:spacing w:after="0" w:line="225" w:lineRule="exact"/>
        <w:rPr>
          <w:rFonts w:ascii="Times New Roman" w:cs="Times New Roman" w:eastAsia="Times New Roman" w:hAnsi="Times New Roman"/>
          <w:sz w:val="18"/>
          <w:szCs w:val="18"/>
          <w:color w:val="010000"/>
        </w:rPr>
      </w:pPr>
    </w:p>
    <w:p>
      <w:pPr>
        <w:ind w:left="4" w:firstLine="644"/>
        <w:spacing w:after="0" w:line="282" w:lineRule="auto"/>
        <w:tabs>
          <w:tab w:leader="none" w:pos="896" w:val="left"/>
        </w:tabs>
        <w:numPr>
          <w:ilvl w:val="1"/>
          <w:numId w:val="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Within fifteen (15) business days from the Effective Date, Microbot shall pay the Cash Settlement Portion to Plaintiffs as set forth on Schedule A attached hereto, all in accordance with the wiring instructions set forth on Schedule A.</w:t>
      </w:r>
    </w:p>
    <w:p>
      <w:pPr>
        <w:spacing w:after="0" w:line="161" w:lineRule="exact"/>
        <w:rPr>
          <w:rFonts w:ascii="Times New Roman" w:cs="Times New Roman" w:eastAsia="Times New Roman" w:hAnsi="Times New Roman"/>
          <w:sz w:val="18"/>
          <w:szCs w:val="18"/>
          <w:color w:val="010000"/>
        </w:rPr>
      </w:pPr>
    </w:p>
    <w:p>
      <w:pPr>
        <w:jc w:val="both"/>
        <w:ind w:left="4" w:firstLine="644"/>
        <w:spacing w:after="0" w:line="261" w:lineRule="auto"/>
        <w:tabs>
          <w:tab w:leader="none" w:pos="907" w:val="left"/>
        </w:tabs>
        <w:numPr>
          <w:ilvl w:val="1"/>
          <w:numId w:val="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Within five (5) business days from the Effective Date, Microbot shall issue the Stock Settlement Portion to Plaintiffs as set forth on Schedule A attached hereto. The Shares representing the Stock Settlement Portion shall be delivered to Plaintiffs via delivery of a book entry statement issued by Microbot’s transfer agent (the “</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Microbot will pay all fees and expenses of its Transfer Agent in connection with the delivery of the Stock Settlement Portion.</w:t>
      </w:r>
    </w:p>
    <w:p>
      <w:pPr>
        <w:spacing w:after="0" w:line="179" w:lineRule="exact"/>
        <w:rPr>
          <w:rFonts w:ascii="Times New Roman" w:cs="Times New Roman" w:eastAsia="Times New Roman" w:hAnsi="Times New Roman"/>
          <w:sz w:val="18"/>
          <w:szCs w:val="18"/>
          <w:color w:val="010000"/>
        </w:rPr>
      </w:pPr>
    </w:p>
    <w:p>
      <w:pPr>
        <w:ind w:left="184" w:hanging="184"/>
        <w:spacing w:after="0"/>
        <w:tabs>
          <w:tab w:leader="none" w:pos="184" w:val="left"/>
        </w:tabs>
        <w:numPr>
          <w:ilvl w:val="0"/>
          <w:numId w:val="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Legends and Legend Removal.</w:t>
      </w:r>
    </w:p>
    <w:p>
      <w:pPr>
        <w:spacing w:after="0" w:line="225" w:lineRule="exact"/>
        <w:rPr>
          <w:rFonts w:ascii="Times New Roman" w:cs="Times New Roman" w:eastAsia="Times New Roman" w:hAnsi="Times New Roman"/>
          <w:sz w:val="18"/>
          <w:szCs w:val="18"/>
          <w:color w:val="010000"/>
        </w:rPr>
      </w:pPr>
    </w:p>
    <w:p>
      <w:pPr>
        <w:ind w:left="4" w:right="20" w:firstLine="644"/>
        <w:spacing w:after="0" w:line="282" w:lineRule="auto"/>
        <w:tabs>
          <w:tab w:leader="none" w:pos="896" w:val="left"/>
        </w:tabs>
        <w:numPr>
          <w:ilvl w:val="1"/>
          <w:numId w:val="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Plaintiffs agree to the imprinting, so long as is required by this Section 4(a), of a legend on any of the Shares in substantially the following form:</w:t>
      </w:r>
    </w:p>
    <w:p>
      <w:pPr>
        <w:spacing w:after="0" w:line="162" w:lineRule="exact"/>
        <w:rPr>
          <w:sz w:val="20"/>
          <w:szCs w:val="20"/>
          <w:color w:val="auto"/>
        </w:rPr>
      </w:pPr>
    </w:p>
    <w:p>
      <w:pPr>
        <w:jc w:val="both"/>
        <w:ind w:left="1304" w:right="640"/>
        <w:spacing w:after="0" w:line="253" w:lineRule="auto"/>
        <w:rPr>
          <w:sz w:val="20"/>
          <w:szCs w:val="20"/>
          <w:color w:val="auto"/>
        </w:rPr>
      </w:pPr>
      <w:r>
        <w:rPr>
          <w:rFonts w:ascii="Times New Roman" w:cs="Times New Roman" w:eastAsia="Times New Roman" w:hAnsi="Times New Roman"/>
          <w:sz w:val="18"/>
          <w:szCs w:val="18"/>
          <w:color w:val="auto"/>
        </w:rPr>
        <w:t>THIS SECURITY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192"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6" w:name="page7"/>
    <w:bookmarkEnd w:id="6"/>
    <w:p>
      <w:pPr>
        <w:jc w:val="both"/>
        <w:ind w:left="-460" w:firstLine="644"/>
        <w:spacing w:after="0" w:line="253" w:lineRule="auto"/>
        <w:tabs>
          <w:tab w:leader="none" w:pos="456" w:val="left"/>
        </w:tabs>
        <w:numPr>
          <w:ilvl w:val="0"/>
          <w:numId w:val="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Subject to applicable law, the Company acknowledges and agrees that a Plaintiff may from time to time pledge pursuant to a bona fide margin agreement with a registered broker-dealer or grant a security interest in some or all of the Shares to a financial institution that is an “accredited investor” as defined in Rule 501(a) under the Securities Act and, if required under the terms of such arrangement, such Plaintiff may transfer pledged or secured Shares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Plaintiff’s expense, and subject to applicable law, the Company will execute and deliver such reasonable documentation as a pledgee or secured party of Shares may reasonably request in connection with a pledge or transfer of the Shares, including, if the Shares are subject to registration pursuant to the Registration Rights Agreement, the preparation and filing of any required prospectus supplement under Rule 424(b)(3) under the Securities Act or other applicable provision of the Securities Act to appropriately amend the list of Selling Stockholders (as defined in the Registration Rights Agreement) thereunder.</w:t>
      </w:r>
    </w:p>
    <w:p>
      <w:pPr>
        <w:spacing w:after="0" w:line="194" w:lineRule="exact"/>
        <w:rPr>
          <w:rFonts w:ascii="Times New Roman" w:cs="Times New Roman" w:eastAsia="Times New Roman" w:hAnsi="Times New Roman"/>
          <w:sz w:val="18"/>
          <w:szCs w:val="18"/>
          <w:color w:val="010000"/>
        </w:rPr>
      </w:pPr>
    </w:p>
    <w:p>
      <w:pPr>
        <w:jc w:val="both"/>
        <w:ind w:left="-460" w:firstLine="644"/>
        <w:spacing w:after="0" w:line="251" w:lineRule="auto"/>
        <w:tabs>
          <w:tab w:leader="none" w:pos="432" w:val="left"/>
        </w:tabs>
        <w:numPr>
          <w:ilvl w:val="0"/>
          <w:numId w:val="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Provided that the Plaintiffs are not affiliates of the Company under applicable law, the Shares shall not contain any legend (including the legend set forth in Section 4(a) hereof), (i) while a registration statement (including the Registration Statement (as defined in the RRA)) covering the resale of such security is effective under the Securities Act, (ii) following any sale of such Shares pursuant to Rule 144 and the Company is then in compliance with the current public information required under Rule 144, (iii) if such Shares are eligible for sale or may be sold under Rule 144, without volume or manner-of-sale restrictions, or (iv) if such legend is not required under applicable requirements of the Securities Act (including judicial interpretations and pronouncements issued by the staff of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(the earliest of such dates, the “</w:t>
      </w:r>
      <w:r>
        <w:rPr>
          <w:rFonts w:ascii="Times New Roman" w:cs="Times New Roman" w:eastAsia="Times New Roman" w:hAnsi="Times New Roman"/>
          <w:sz w:val="18"/>
          <w:szCs w:val="18"/>
          <w:u w:val="single" w:color="auto"/>
          <w:color w:val="auto"/>
        </w:rPr>
        <w:t>Release Date</w:t>
      </w:r>
      <w:r>
        <w:rPr>
          <w:rFonts w:ascii="Times New Roman" w:cs="Times New Roman" w:eastAsia="Times New Roman" w:hAnsi="Times New Roman"/>
          <w:sz w:val="18"/>
          <w:szCs w:val="18"/>
          <w:color w:val="auto"/>
        </w:rPr>
        <w:t>”). The Company shall cause its counsel to issue a legal opinion to the Transfer Agent or the Plaintiff promptly after the Release Date if required by the Transfer Agent to effect the removal of the legend hereunder under applicable law, or if requested by a Plaintiff, respectively. In furtherance of the foregoing, the Company agrees that following the earliest Release Date (for purposes of this Section 4(c), as to some or all Shares) or such time as such legend is no longer required under this Section 4(c), it will, no later than the earlier of (i) two (2) Trading Days (as defined below) and (ii) the number of Trading Days comprising the Standard Settlement Period (as defined below) following the delivery by a Plaintiff to the Company or the Transfer Agent of instructions to cancel the Shares issued with a restrictive legend for de-legending (such date, the “</w:t>
      </w:r>
      <w:r>
        <w:rPr>
          <w:rFonts w:ascii="Times New Roman" w:cs="Times New Roman" w:eastAsia="Times New Roman" w:hAnsi="Times New Roman"/>
          <w:sz w:val="18"/>
          <w:szCs w:val="18"/>
          <w:u w:val="single" w:color="auto"/>
          <w:color w:val="auto"/>
        </w:rPr>
        <w:t>Legend Removal Date</w:t>
      </w:r>
      <w:r>
        <w:rPr>
          <w:rFonts w:ascii="Times New Roman" w:cs="Times New Roman" w:eastAsia="Times New Roman" w:hAnsi="Times New Roman"/>
          <w:sz w:val="18"/>
          <w:szCs w:val="18"/>
          <w:color w:val="auto"/>
        </w:rPr>
        <w:t>”), deliver or cause to be delivered to such Plaintiff such Shares that are free from all restrictive and other legends. The Company may not make any notation on its records or give instructions to the Transfer Agent that enlarge the restrictions on transfer set forth in this Section 4. Shares subject to legend removal hereunder shall be transmitted by the Transfer Agent to the Plaintiff by crediting the account of the Plaintiff’s prime broker with the Depository Trust Company System as directed by such Plaintiff. As used herein, (i)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Shares as in effect on the date of delivery of a certificate representing Shares issued with a restrictive legend, (ii) “</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 and (ii) “</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Shares are listed or quoted for trading on the date in question: the NYSE American, the Nasdaq Capital Market, the Nasdaq Global Market, the Nasdaq Global Select Market, the New York Stock Exchange, the OTCQB, OTCQX, Pink Open Market (or any successors to any of the foregoing) The Company will pay all fees and expenses of its Transfer Agent in connection with the removal of legends from the Shares under this Section 4, including without limitation fees and expenses in connection with expedited actions by the Transfer Agent.</w:t>
      </w:r>
    </w:p>
    <w:p>
      <w:pPr>
        <w:spacing w:after="0" w:line="20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7" w:name="page8"/>
    <w:bookmarkEnd w:id="7"/>
    <w:p>
      <w:pPr>
        <w:jc w:val="both"/>
        <w:ind w:left="-460" w:firstLine="644"/>
        <w:spacing w:after="0" w:line="252" w:lineRule="auto"/>
        <w:tabs>
          <w:tab w:leader="none" w:pos="443"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addition to such Plaintiff’s other available remedies, the Company shall pay to a Plaintiff, in cash, if the Company fails to (a) issue and deliver (or cause to be delivered) to a Plaintiff by the Legend Removal Date the Shares (so delivered or instructed to be delivered to the Company or Transfer Agent by such Plaintiff) that is free from all restrictive and other legends and (b) if after the Legend Removal Date such Plaintiff purchases (in an open market transaction or otherwise) shares of Microbot common stock to deliver in satisfaction of a sale by such Plaintiff of all or any portion of the number of shares of Microbot common stock, or a sale of a number of shares of Microbot common stock equal to all or any portion of the number of shares of Microbot common stock that such Plaintiff anticipated receiving from the Company without any restrictive legend, then, an amount equal to the excess of such Plaintiff’s total purchase price (including brokerage commissions and other out-of-pocket expenses, if any) for the shares of Microbot common stock so purchased (including brokerage commissions and other out-of-pocket expenses, if any) (the “</w:t>
      </w:r>
      <w:r>
        <w:rPr>
          <w:rFonts w:ascii="Times New Roman" w:cs="Times New Roman" w:eastAsia="Times New Roman" w:hAnsi="Times New Roman"/>
          <w:sz w:val="18"/>
          <w:szCs w:val="18"/>
          <w:u w:val="single" w:color="auto"/>
          <w:color w:val="auto"/>
        </w:rPr>
        <w:t>Buy-In Price</w:t>
      </w:r>
      <w:r>
        <w:rPr>
          <w:rFonts w:ascii="Times New Roman" w:cs="Times New Roman" w:eastAsia="Times New Roman" w:hAnsi="Times New Roman"/>
          <w:sz w:val="18"/>
          <w:szCs w:val="18"/>
          <w:color w:val="auto"/>
        </w:rPr>
        <w:t>”) over the product of (A) such number of Shares that the Company was required to deliver to such Plaintiff by the Legend Removal Date multiplied by (B) the lowest closing sale price of Microbot common stock on any Trading Day during the period commencing on the date of the delivery by such Plaintiff to the Company of the applicable Shares and ending on the date of such delivery and payment under this section. For the avoidance of doubt, no amounts shall be payable by the Company under this Section 4(d) that relate to sales by a Plaintiff of Microbot common stock occurring prior to the earlier of the date that (i) the Registration Statement (as defined in the RRA) is declared effective under the Securities Act, or (ii) the Shares are eligible for resale pursuant to Rule 144.</w:t>
      </w:r>
    </w:p>
    <w:p>
      <w:pPr>
        <w:spacing w:after="0" w:line="197" w:lineRule="exact"/>
        <w:rPr>
          <w:rFonts w:ascii="Times New Roman" w:cs="Times New Roman" w:eastAsia="Times New Roman" w:hAnsi="Times New Roman"/>
          <w:sz w:val="18"/>
          <w:szCs w:val="18"/>
          <w:color w:val="010000"/>
        </w:rPr>
      </w:pPr>
    </w:p>
    <w:p>
      <w:pPr>
        <w:jc w:val="both"/>
        <w:ind w:left="-460" w:firstLine="644"/>
        <w:spacing w:after="0" w:line="253" w:lineRule="auto"/>
        <w:tabs>
          <w:tab w:leader="none" w:pos="432"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shall (a) by 9:00 am on January 30, 2024, issue a press release disclosing the settlement, and (b) file a Current Report on Form 8-K, including this Agreement and the RRA as exhibits thereto, with the Securities and Exchange Commission within the time required by the Securities Exchange Act of 1934, as amended. From and after the issuance of such press release, the Company represents to the Plaintiffs that it shall have publicly disclosed all material, non-public information delivered to any of the Plaintiffs by the Company or any of its subsidiaries, or any of their respective officers, directors, employees, affiliates or agents in connection with the transactions contemplated hereby.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or affiliates, on the one hand, and any of the Plaintiffs or any of their affiliates on the other hand, shall terminate and be of no further force or effect. The Company understands and confirms that each Plaintiff shall be relying on the foregoing covenant in effecting transactions in securities of the Company. The Company further covenants and agrees that neither it, nor any other Person acting on its behalf will provide any Plaintiff or its agents or counsel with any information that constitutes, or the Company reasonably believes constitutes, material non-public information, unless prior thereto such Plaintiff shall have consented in writing to the receipt of such information and agreed in writing with the Company to keep such information confidential.</w:t>
      </w:r>
    </w:p>
    <w:p>
      <w:pPr>
        <w:spacing w:after="0" w:line="18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8" w:name="page9"/>
    <w:bookmarkEnd w:id="8"/>
    <w:p>
      <w:pPr>
        <w:ind w:left="184" w:hanging="184"/>
        <w:spacing w:after="0"/>
        <w:tabs>
          <w:tab w:leader="none" w:pos="184" w:val="left"/>
        </w:tabs>
        <w:numPr>
          <w:ilvl w:val="0"/>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Mutual Releases.</w:t>
      </w:r>
    </w:p>
    <w:p>
      <w:pPr>
        <w:spacing w:after="0" w:line="225" w:lineRule="exact"/>
        <w:rPr>
          <w:rFonts w:ascii="Times New Roman" w:cs="Times New Roman" w:eastAsia="Times New Roman" w:hAnsi="Times New Roman"/>
          <w:sz w:val="18"/>
          <w:szCs w:val="18"/>
          <w:color w:val="010000"/>
        </w:rPr>
      </w:pPr>
    </w:p>
    <w:p>
      <w:pPr>
        <w:jc w:val="both"/>
        <w:ind w:left="4" w:firstLine="644"/>
        <w:spacing w:after="0" w:line="252" w:lineRule="auto"/>
        <w:tabs>
          <w:tab w:leader="none" w:pos="910" w:val="left"/>
        </w:tabs>
        <w:numPr>
          <w:ilvl w:val="1"/>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Plaintiffs’ Releases of Microbot</w:t>
      </w:r>
      <w:r>
        <w:rPr>
          <w:rFonts w:ascii="Times New Roman" w:cs="Times New Roman" w:eastAsia="Times New Roman" w:hAnsi="Times New Roman"/>
          <w:sz w:val="18"/>
          <w:szCs w:val="18"/>
          <w:color w:val="auto"/>
        </w:rPr>
        <w:t>. Upon receipt of an executed copy of this Agreement, the RRA and the Total Settlement Amount from Microbot, Plaintiffs on behalf of (i) themselves and their current and former principals, members, shareholders, directors, managers, officers, employees, agents, representatives, partners, joint venturers, consultants, beneficiaries, heirs, assigns, executors, administrators, trustees, attorneys and advisors, and (ii) each of their predecessors, successors, parents, subsidiaries, affiliates, and each of their respective current and former principals, members, shareholders, directors, managers, officers, employees, agents, representatives, partners, joint venturers, consultants, beneficiaries, heirs, assigns, executors, administrators, trustees, attorneys and advisors (the “</w:t>
      </w:r>
      <w:r>
        <w:rPr>
          <w:rFonts w:ascii="Times New Roman" w:cs="Times New Roman" w:eastAsia="Times New Roman" w:hAnsi="Times New Roman"/>
          <w:sz w:val="18"/>
          <w:szCs w:val="18"/>
          <w:u w:val="single" w:color="auto"/>
          <w:color w:val="auto"/>
        </w:rPr>
        <w:t>Plaintiff Releasing Parties</w:t>
      </w:r>
      <w:r>
        <w:rPr>
          <w:rFonts w:ascii="Times New Roman" w:cs="Times New Roman" w:eastAsia="Times New Roman" w:hAnsi="Times New Roman"/>
          <w:sz w:val="18"/>
          <w:szCs w:val="18"/>
          <w:color w:val="auto"/>
        </w:rPr>
        <w:t>”), fully and irrevocably releases, settles, acquits and forever discharges (i) Microbot and its current and former principals, members, shareholders, directors, managers, officers, employees, agents, representatives, partners, joint venturers, consultants, beneficiaries, heirs, assigns, executors, administrators, trustees, attorneys and advisors, and (ii) each of their predecessors, successors, parents, subsidiaries, affiliates and divisions, and each of their respective current and former principals, members, shareholders, directors, managers, officers, employees, agents, representatives, partners, joint venturers, consultants, beneficiaries, heirs, assigns, executors, administrators, trustees, attorneys and advisors (the “</w:t>
      </w:r>
      <w:r>
        <w:rPr>
          <w:rFonts w:ascii="Times New Roman" w:cs="Times New Roman" w:eastAsia="Times New Roman" w:hAnsi="Times New Roman"/>
          <w:sz w:val="18"/>
          <w:szCs w:val="18"/>
          <w:u w:val="single" w:color="auto"/>
          <w:color w:val="auto"/>
        </w:rPr>
        <w:t>Microbot Released Parties</w:t>
      </w:r>
      <w:r>
        <w:rPr>
          <w:rFonts w:ascii="Times New Roman" w:cs="Times New Roman" w:eastAsia="Times New Roman" w:hAnsi="Times New Roman"/>
          <w:sz w:val="18"/>
          <w:szCs w:val="18"/>
          <w:color w:val="auto"/>
        </w:rPr>
        <w:t>”) to the fullest extent permitted by applicable law from any and all claims, counterclaims, complaints, causes of action, suits, losses of every kind, demands, debts or expenses (including, but not limited to, attorneys’ fees and costs actually incurred), liens, contractual obligations, undertakings, warranties, liabilities or damages of whatever nature, at law, in equity, or otherwise, whether known or unknown, suspected or unsuspected, asserted or unasserted, whether for equitable, declaratory, monetary, injunctive or any other type of relief whatsoever that the Plaintiff Releasing Parties have, had or may have against the Microbot Released Parties, arising out of or relating to the Offering, the SPA, and/or the allegations and claims asserted in the Lawsuit, from the beginning of the world through the date of signing this Agreement; provided that nothing in this Section 5(a) releases Microbot from the obligations contained in this Agreement or the RRA nor are the Plaintiff Releasing Parties releasing any claims or causes of action against Microbot for enforcement of this Agreement or the RRA.</w:t>
      </w:r>
    </w:p>
    <w:p>
      <w:pPr>
        <w:spacing w:after="0" w:line="191"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9" w:name="page10"/>
    <w:bookmarkEnd w:id="9"/>
    <w:p>
      <w:pPr>
        <w:jc w:val="both"/>
        <w:ind w:left="-460" w:firstLine="644"/>
        <w:spacing w:after="0" w:line="252" w:lineRule="auto"/>
        <w:tabs>
          <w:tab w:leader="none" w:pos="470" w:val="left"/>
        </w:tabs>
        <w:numPr>
          <w:ilvl w:val="0"/>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Microbot Releases of Plaintiffs</w:t>
      </w:r>
      <w:r>
        <w:rPr>
          <w:rFonts w:ascii="Times New Roman" w:cs="Times New Roman" w:eastAsia="Times New Roman" w:hAnsi="Times New Roman"/>
          <w:sz w:val="18"/>
          <w:szCs w:val="18"/>
          <w:color w:val="auto"/>
        </w:rPr>
        <w:t>. Upon receipt of an executed copy of this Agreement from Plaintiffs and payment of the Total Settlement Amount, Microbot, on behalf of (i) itself and its current and former principals, members, shareholders, directors, managers, officers, employees, agents, representatives, partners, joint venturers, consultants, beneficiaries, heirs, assigns, executors, administrators, trustees, attorneys and advisors, and (ii) each of their predecessors, successors, parents, subsidiaries, affiliates and divisions, and each of their respective current and former principals, members, shareholders, directors, managers, officers, employees, agents, representatives, partners, joint venturers, consultants, beneficiaries, heirs, assigns, executors, administrators, trustees, attorneys and advisors (the “</w:t>
      </w:r>
      <w:r>
        <w:rPr>
          <w:rFonts w:ascii="Times New Roman" w:cs="Times New Roman" w:eastAsia="Times New Roman" w:hAnsi="Times New Roman"/>
          <w:sz w:val="18"/>
          <w:szCs w:val="18"/>
          <w:u w:val="single" w:color="auto"/>
          <w:color w:val="auto"/>
        </w:rPr>
        <w:t>Microbot Releasing Parties</w:t>
      </w:r>
      <w:r>
        <w:rPr>
          <w:rFonts w:ascii="Times New Roman" w:cs="Times New Roman" w:eastAsia="Times New Roman" w:hAnsi="Times New Roman"/>
          <w:sz w:val="18"/>
          <w:szCs w:val="18"/>
          <w:color w:val="auto"/>
        </w:rPr>
        <w:t>”), fully and irrevocably releases, settles, acquits and forever discharges (i) Plaintiffs and their current and former principals, members, shareholders, directors, managers, officers, employees, agents, representatives, partners, joint venturers, consultants, beneficiaries, heirs, assigns, attorneys and advisors, and (ii) each of Plaintiffs’ predecessors, successors, parents, subsidiaries, affiliates and divisions, and each of their respective current and former principals, members, shareholders, directors, managers, officers, employees, agents, representatives, partners, joint venturers, consultants, beneficiaries, heirs, assigns, executors, administrators, trustees, attorneys and advisors (the “</w:t>
      </w:r>
      <w:r>
        <w:rPr>
          <w:rFonts w:ascii="Times New Roman" w:cs="Times New Roman" w:eastAsia="Times New Roman" w:hAnsi="Times New Roman"/>
          <w:sz w:val="18"/>
          <w:szCs w:val="18"/>
          <w:u w:val="single" w:color="auto"/>
          <w:color w:val="auto"/>
        </w:rPr>
        <w:t>Plaintiff Released Parties</w:t>
      </w:r>
      <w:r>
        <w:rPr>
          <w:rFonts w:ascii="Times New Roman" w:cs="Times New Roman" w:eastAsia="Times New Roman" w:hAnsi="Times New Roman"/>
          <w:sz w:val="18"/>
          <w:szCs w:val="18"/>
          <w:color w:val="auto"/>
        </w:rPr>
        <w:t>”) to the fullest extent permitted by applicable law from any and all claims, counterclaims, complaints, causes of action, suits, losses of every kind, demands, debts or expenses (including, but not limited to, attorneys’ fees and costs actually incurred), liens, contractual obligations, undertakings, warranties, liabilities or damages of whatever nature, at law, in equity, or otherwise, whether known or unknown, suspected or unsuspected, asserted or unasserted, whether for equitable, declaratory, monetary, injunctive or any other type of relief whatsoever that the Microbot Releasing Parties have, had or may have against the Plaintiff Released Parties, arising out of or relating to the Offering, the SPA, and/or the allegations and claims asserted in the Lawsuit, from the beginning of the world through the date of signing this Agreement; provided that nothing in this Section 5(b) releases Plaintiffs from the obligations contained in this Agreement or the RRA nor are the Microbot Releasing Parties releasing any claims or causes of action against the Plaintiffs for enforcement of this Agreement or the RRA.</w:t>
      </w:r>
    </w:p>
    <w:p>
      <w:pPr>
        <w:spacing w:after="0" w:line="190" w:lineRule="exact"/>
        <w:rPr>
          <w:rFonts w:ascii="Times New Roman" w:cs="Times New Roman" w:eastAsia="Times New Roman" w:hAnsi="Times New Roman"/>
          <w:sz w:val="18"/>
          <w:szCs w:val="18"/>
          <w:color w:val="010000"/>
        </w:rPr>
      </w:pPr>
    </w:p>
    <w:p>
      <w:pPr>
        <w:ind w:left="-460" w:firstLine="644"/>
        <w:spacing w:after="0" w:line="282" w:lineRule="auto"/>
        <w:tabs>
          <w:tab w:leader="none" w:pos="432" w:val="left"/>
        </w:tabs>
        <w:numPr>
          <w:ilvl w:val="0"/>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Plaintiff Releasing Parties and the Microbot Releasing Parties each understand and agree that the Parties’ agreement to provide these general releases is a material condition of this Agreement and to providing the Settlement Amount identified in this Agreement.</w:t>
      </w:r>
    </w:p>
    <w:p>
      <w:pPr>
        <w:spacing w:after="0" w:line="161" w:lineRule="exact"/>
        <w:rPr>
          <w:rFonts w:ascii="Times New Roman" w:cs="Times New Roman" w:eastAsia="Times New Roman" w:hAnsi="Times New Roman"/>
          <w:sz w:val="18"/>
          <w:szCs w:val="18"/>
          <w:color w:val="010000"/>
        </w:rPr>
      </w:pPr>
    </w:p>
    <w:p>
      <w:pPr>
        <w:jc w:val="both"/>
        <w:ind w:left="-460" w:firstLine="644"/>
        <w:spacing w:after="0" w:line="266" w:lineRule="auto"/>
        <w:tabs>
          <w:tab w:leader="none" w:pos="470" w:val="left"/>
        </w:tabs>
        <w:numPr>
          <w:ilvl w:val="0"/>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Plaintiff Releasing Parties represent that they have no other suits, claims, complaints or demands of any kind whatsoever currently pending against the Microbot Released Parties with any local, state, or federal court or other tribunal, nor are they aware of any facts that would serve as the basis for any civil or administrative proceeding against the Microbot Released Parties.</w:t>
      </w:r>
    </w:p>
    <w:p>
      <w:pPr>
        <w:spacing w:after="0" w:line="175" w:lineRule="exact"/>
        <w:rPr>
          <w:rFonts w:ascii="Times New Roman" w:cs="Times New Roman" w:eastAsia="Times New Roman" w:hAnsi="Times New Roman"/>
          <w:sz w:val="18"/>
          <w:szCs w:val="18"/>
          <w:color w:val="010000"/>
        </w:rPr>
      </w:pPr>
    </w:p>
    <w:p>
      <w:pPr>
        <w:jc w:val="both"/>
        <w:ind w:left="-460" w:firstLine="644"/>
        <w:spacing w:after="0" w:line="266" w:lineRule="auto"/>
        <w:tabs>
          <w:tab w:leader="none" w:pos="459" w:val="left"/>
        </w:tabs>
        <w:numPr>
          <w:ilvl w:val="0"/>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Microbot Releasing Parties represent that they have no other suits, claims, complaints or demands of any kind whatsoever currently pending against the Plaintiff Released Parties with any local, state, or federal court or other tribunal, nor are they aware of any facts that would serve as the basis for any civil or administrative proceeding against the Plaintiff Released Parties.</w:t>
      </w:r>
    </w:p>
    <w:p>
      <w:pPr>
        <w:spacing w:after="0" w:line="175" w:lineRule="exact"/>
        <w:rPr>
          <w:rFonts w:ascii="Times New Roman" w:cs="Times New Roman" w:eastAsia="Times New Roman" w:hAnsi="Times New Roman"/>
          <w:sz w:val="18"/>
          <w:szCs w:val="18"/>
          <w:color w:val="010000"/>
        </w:rPr>
      </w:pPr>
    </w:p>
    <w:p>
      <w:pPr>
        <w:jc w:val="both"/>
        <w:ind w:left="-460" w:firstLine="644"/>
        <w:spacing w:after="0" w:line="266" w:lineRule="auto"/>
        <w:tabs>
          <w:tab w:leader="none" w:pos="413" w:val="left"/>
        </w:tabs>
        <w:numPr>
          <w:ilvl w:val="0"/>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Plaintiff Releasing Parties and Microbot Releasing Parties hereby acknowledge and waive any and all rights and protections under California Civil Code Section 1542, or any similar provision of state or federal law. The Parties each acknowledge that they have been advised by their attorneys of the contents and effects of Section 1542, which section has been duly explained and reads as follows:</w:t>
      </w:r>
    </w:p>
    <w:p>
      <w:pPr>
        <w:spacing w:after="0" w:line="176" w:lineRule="exact"/>
        <w:rPr>
          <w:sz w:val="20"/>
          <w:szCs w:val="20"/>
          <w:color w:val="auto"/>
        </w:rPr>
      </w:pPr>
    </w:p>
    <w:p>
      <w:pPr>
        <w:jc w:val="both"/>
        <w:ind w:left="180" w:right="1300"/>
        <w:spacing w:after="0" w:line="261" w:lineRule="auto"/>
        <w:rPr>
          <w:sz w:val="20"/>
          <w:szCs w:val="20"/>
          <w:color w:val="auto"/>
        </w:rPr>
      </w:pPr>
      <w:r>
        <w:rPr>
          <w:rFonts w:ascii="Times New Roman" w:cs="Times New Roman" w:eastAsia="Times New Roman" w:hAnsi="Times New Roman"/>
          <w:sz w:val="18"/>
          <w:szCs w:val="18"/>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8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0" w:name="page11"/>
    <w:bookmarkEnd w:id="10"/>
    <w:p>
      <w:pPr>
        <w:jc w:val="both"/>
        <w:ind w:firstLine="656"/>
        <w:spacing w:after="0" w:line="266" w:lineRule="auto"/>
        <w:tabs>
          <w:tab w:leader="none" w:pos="841"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No Release for Breach of this Agreement or the RRA</w:t>
      </w:r>
      <w:r>
        <w:rPr>
          <w:rFonts w:ascii="Times New Roman" w:cs="Times New Roman" w:eastAsia="Times New Roman" w:hAnsi="Times New Roman"/>
          <w:sz w:val="18"/>
          <w:szCs w:val="18"/>
          <w:color w:val="auto"/>
        </w:rPr>
        <w:t>. Notwithstanding anything to the contrary in this Agreement or the RRA, the releases contained in this Agreement do not and are not intended to release any claims that either Party may have against the other Party for a breach of this Agreement or the RRA.</w:t>
      </w:r>
    </w:p>
    <w:p>
      <w:pPr>
        <w:spacing w:after="0" w:line="175" w:lineRule="exact"/>
        <w:rPr>
          <w:rFonts w:ascii="Times New Roman" w:cs="Times New Roman" w:eastAsia="Times New Roman" w:hAnsi="Times New Roman"/>
          <w:sz w:val="18"/>
          <w:szCs w:val="18"/>
          <w:color w:val="010000"/>
        </w:rPr>
      </w:pPr>
    </w:p>
    <w:p>
      <w:pPr>
        <w:jc w:val="both"/>
        <w:ind w:firstLine="656"/>
        <w:spacing w:after="0" w:line="261" w:lineRule="auto"/>
        <w:tabs>
          <w:tab w:leader="none" w:pos="828"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Covenant Not to Sue</w:t>
      </w:r>
      <w:r>
        <w:rPr>
          <w:rFonts w:ascii="Times New Roman" w:cs="Times New Roman" w:eastAsia="Times New Roman" w:hAnsi="Times New Roman"/>
          <w:sz w:val="18"/>
          <w:szCs w:val="18"/>
          <w:color w:val="auto"/>
        </w:rPr>
        <w:t>. Each Party covenants never to institute, participate in, assist or encourage, either directly or indirectly, any suit, action, arbitration or proceeding, at law or in equity, against the Microbot Released Parties or the Plaintiff Released Parties, as applicable, arising from or related to the claims, counterclaims, complaints, causes of action, suits, losses, demands, debts or expenses (including, but not limited to, attorneys’ fees and costs actually incurred), liens, liabilities or damages that are released in this Agreement.</w:t>
      </w:r>
    </w:p>
    <w:p>
      <w:pPr>
        <w:spacing w:after="0" w:line="179" w:lineRule="exact"/>
        <w:rPr>
          <w:rFonts w:ascii="Times New Roman" w:cs="Times New Roman" w:eastAsia="Times New Roman" w:hAnsi="Times New Roman"/>
          <w:sz w:val="18"/>
          <w:szCs w:val="18"/>
          <w:color w:val="010000"/>
        </w:rPr>
      </w:pPr>
    </w:p>
    <w:p>
      <w:pPr>
        <w:jc w:val="both"/>
        <w:ind w:firstLine="656"/>
        <w:spacing w:after="0" w:line="266" w:lineRule="auto"/>
        <w:tabs>
          <w:tab w:leader="none" w:pos="841"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Dismissal of the Action</w:t>
      </w:r>
      <w:r>
        <w:rPr>
          <w:rFonts w:ascii="Times New Roman" w:cs="Times New Roman" w:eastAsia="Times New Roman" w:hAnsi="Times New Roman"/>
          <w:sz w:val="18"/>
          <w:szCs w:val="18"/>
          <w:color w:val="auto"/>
        </w:rPr>
        <w:t xml:space="preserve">. Within three (3) business days of Plaintiffs’ receipt of the Total Settlement Amount, Plaintiffs will file a stipulation discontinuing the Action with prejudice that shall be executed by counsel for Plaintiffs and Microbot substantially in the same form attached to this Agreement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010000"/>
        </w:rPr>
      </w:pPr>
    </w:p>
    <w:p>
      <w:pPr>
        <w:jc w:val="both"/>
        <w:ind w:firstLine="656"/>
        <w:spacing w:after="0" w:line="256" w:lineRule="auto"/>
        <w:tabs>
          <w:tab w:leader="none" w:pos="841"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No Admission of Liability</w:t>
      </w:r>
      <w:r>
        <w:rPr>
          <w:rFonts w:ascii="Times New Roman" w:cs="Times New Roman" w:eastAsia="Times New Roman" w:hAnsi="Times New Roman"/>
          <w:sz w:val="18"/>
          <w:szCs w:val="18"/>
          <w:color w:val="auto"/>
        </w:rPr>
        <w:t>. The Parties have entered into this Agreement and the RRA solely for the purposes of avoiding the expense and inconvenience of litigation. Neither the execution of this Agreement and the RRA, nor the effectuation of the settlement as set forth herein and therein, shall constitute or be construed in any manner whatsoever as an admission or concession of liability or wrongdoing, or lack of merit of any claims or defenses, on the part of either Party. This Agreement, the RRA, and any other evidence of the terms of this settlement, shall not be offered or received in evidence in any action or other proceeding as an admission or concession of liability or wrongdoing, or lack of merit of any claims or defenses, on the part of either Party.</w:t>
      </w:r>
    </w:p>
    <w:p>
      <w:pPr>
        <w:spacing w:after="0" w:line="187" w:lineRule="exact"/>
        <w:rPr>
          <w:rFonts w:ascii="Times New Roman" w:cs="Times New Roman" w:eastAsia="Times New Roman" w:hAnsi="Times New Roman"/>
          <w:sz w:val="18"/>
          <w:szCs w:val="18"/>
          <w:color w:val="010000"/>
        </w:rPr>
      </w:pPr>
    </w:p>
    <w:p>
      <w:pPr>
        <w:jc w:val="both"/>
        <w:ind w:firstLine="656"/>
        <w:spacing w:after="0" w:line="256" w:lineRule="auto"/>
        <w:tabs>
          <w:tab w:leader="none" w:pos="931"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Ownership of Claims</w:t>
      </w:r>
      <w:r>
        <w:rPr>
          <w:rFonts w:ascii="Times New Roman" w:cs="Times New Roman" w:eastAsia="Times New Roman" w:hAnsi="Times New Roman"/>
          <w:sz w:val="18"/>
          <w:szCs w:val="18"/>
          <w:color w:val="auto"/>
        </w:rPr>
        <w:t>. Each Party warrants and represents that it is the sole and lawful owner of all rights, title and interests in and to any claims, counterclaims, complaints, causes of action, suits, losses, demands, debts or expenses (including, but not limited to, attorneys’ fees and costs actually incurred), liens, liabilities or damages that are the subject of this Agreement, including without limitation the releases set forth in this Agreement, and that it has not sold, assigned, granted, transferred or hypothecated any right, title or interest in any such claims, counterclaims, complaints, causes of action, suits, losses, demands, debts or expenses (including, but not limited to, attorneys’ fees and costs actually incurred), liens, liabilities or damages to any other person or entity.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both"/>
        <w:ind w:firstLine="656"/>
        <w:spacing w:after="0" w:line="258" w:lineRule="auto"/>
        <w:tabs>
          <w:tab w:leader="none" w:pos="911" w:val="left"/>
        </w:tabs>
        <w:numPr>
          <w:ilvl w:val="0"/>
          <w:numId w:val="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Governing Law and Venue</w:t>
      </w:r>
      <w:r>
        <w:rPr>
          <w:rFonts w:ascii="Times New Roman" w:cs="Times New Roman" w:eastAsia="Times New Roman" w:hAnsi="Times New Roman"/>
          <w:sz w:val="18"/>
          <w:szCs w:val="18"/>
          <w:color w:val="auto"/>
        </w:rPr>
        <w:t xml:space="preserve">. This Agreement shall be construed under and governed by the laws of the State of New York, without regard to choice-of-law principles. Any suit, action, or proceeding between the Parties arising out of or related to this Agreement must be brought exclusively in the federal or state courts located in New York, New York, and the Parties each hereby submit to the personal jurisdiction thereof and agree to such courts as the appropriate venue, and expressly waive any objection to such jurisdiction or venue based on the doctrine of </w:t>
      </w:r>
      <w:r>
        <w:rPr>
          <w:rFonts w:ascii="Times New Roman" w:cs="Times New Roman" w:eastAsia="Times New Roman" w:hAnsi="Times New Roman"/>
          <w:sz w:val="18"/>
          <w:szCs w:val="18"/>
          <w:i w:val="1"/>
          <w:iCs w:val="1"/>
          <w:color w:val="auto"/>
        </w:rPr>
        <w:t>forum non conveniens</w:t>
      </w:r>
      <w:r>
        <w:rPr>
          <w:rFonts w:ascii="Times New Roman" w:cs="Times New Roman" w:eastAsia="Times New Roman" w:hAnsi="Times New Roman"/>
          <w:sz w:val="18"/>
          <w:szCs w:val="18"/>
          <w:color w:val="auto"/>
        </w:rPr>
        <w:t>. Process in any action or proceeding referenced in this paragraph 13 may be served in accordance with the notice provisions set forth in paragraph 22 of this Agreement.</w:t>
      </w:r>
    </w:p>
    <w:p>
      <w:pPr>
        <w:spacing w:after="0" w:line="183" w:lineRule="exact"/>
        <w:rPr>
          <w:rFonts w:ascii="Times New Roman" w:cs="Times New Roman" w:eastAsia="Times New Roman" w:hAnsi="Times New Roman"/>
          <w:sz w:val="18"/>
          <w:szCs w:val="18"/>
          <w:color w:val="010000"/>
        </w:rPr>
      </w:pPr>
    </w:p>
    <w:p>
      <w:pPr>
        <w:jc w:val="both"/>
        <w:ind w:firstLine="656"/>
        <w:spacing w:after="0" w:line="266" w:lineRule="auto"/>
        <w:tabs>
          <w:tab w:leader="none" w:pos="918" w:val="left"/>
        </w:tabs>
        <w:numPr>
          <w:ilvl w:val="0"/>
          <w:numId w:val="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Any failure by a Party to pursue any breach of any provision of this Agreement shall not constitute a waiver of that provision, or any other provision, of this Agreement. The failure of a Party to insist upon the strict performance of any term or condition in this Agreement shall not be considered a waiver or relinquishment of further compliance therewith.</w:t>
      </w:r>
    </w:p>
    <w:p>
      <w:pPr>
        <w:spacing w:after="0" w:line="175" w:lineRule="exact"/>
        <w:rPr>
          <w:rFonts w:ascii="Times New Roman" w:cs="Times New Roman" w:eastAsia="Times New Roman" w:hAnsi="Times New Roman"/>
          <w:sz w:val="18"/>
          <w:szCs w:val="18"/>
          <w:color w:val="010000"/>
        </w:rPr>
      </w:pPr>
    </w:p>
    <w:p>
      <w:pPr>
        <w:jc w:val="both"/>
        <w:ind w:firstLine="656"/>
        <w:spacing w:after="0" w:line="261" w:lineRule="auto"/>
        <w:tabs>
          <w:tab w:leader="none" w:pos="931" w:val="left"/>
        </w:tabs>
        <w:numPr>
          <w:ilvl w:val="0"/>
          <w:numId w:val="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Entire Agreement; Amendments</w:t>
      </w:r>
      <w:r>
        <w:rPr>
          <w:rFonts w:ascii="Times New Roman" w:cs="Times New Roman" w:eastAsia="Times New Roman" w:hAnsi="Times New Roman"/>
          <w:sz w:val="18"/>
          <w:szCs w:val="18"/>
          <w:color w:val="auto"/>
        </w:rPr>
        <w:t>. This Agreement and the RRA contains the entire agreement between the Parties concerning the subject matter hereof and supersedes all prior agreements, understandings, discussions, negotiations and undertakings, whether written or oral, between the Parties with respect thereto. In entering this Agreement and the RRA, no Party has relied upon any representation or warranty of the other Party that is not included in this Agreement or the RRA.</w:t>
      </w:r>
    </w:p>
    <w:p>
      <w:pPr>
        <w:spacing w:after="0" w:line="179" w:lineRule="exact"/>
        <w:rPr>
          <w:rFonts w:ascii="Times New Roman" w:cs="Times New Roman" w:eastAsia="Times New Roman" w:hAnsi="Times New Roman"/>
          <w:sz w:val="18"/>
          <w:szCs w:val="18"/>
          <w:color w:val="010000"/>
        </w:rPr>
      </w:pPr>
    </w:p>
    <w:p>
      <w:pPr>
        <w:ind w:firstLine="656"/>
        <w:spacing w:after="0" w:line="282" w:lineRule="auto"/>
        <w:tabs>
          <w:tab w:leader="none" w:pos="931" w:val="left"/>
        </w:tabs>
        <w:numPr>
          <w:ilvl w:val="0"/>
          <w:numId w:val="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No Oral Modification</w:t>
      </w:r>
      <w:r>
        <w:rPr>
          <w:rFonts w:ascii="Times New Roman" w:cs="Times New Roman" w:eastAsia="Times New Roman" w:hAnsi="Times New Roman"/>
          <w:sz w:val="18"/>
          <w:szCs w:val="18"/>
          <w:color w:val="auto"/>
        </w:rPr>
        <w:t>. This Agreement may not be amended, modified or terminated, except by a written instrument signed by each of the Parties hereto.</w:t>
      </w:r>
    </w:p>
    <w:p>
      <w:pPr>
        <w:spacing w:after="0" w:line="161" w:lineRule="exact"/>
        <w:rPr>
          <w:rFonts w:ascii="Times New Roman" w:cs="Times New Roman" w:eastAsia="Times New Roman" w:hAnsi="Times New Roman"/>
          <w:sz w:val="18"/>
          <w:szCs w:val="18"/>
          <w:color w:val="010000"/>
        </w:rPr>
      </w:pPr>
    </w:p>
    <w:p>
      <w:pPr>
        <w:jc w:val="both"/>
        <w:ind w:firstLine="656"/>
        <w:spacing w:after="0" w:line="258" w:lineRule="auto"/>
        <w:tabs>
          <w:tab w:leader="none" w:pos="918" w:val="left"/>
        </w:tabs>
        <w:numPr>
          <w:ilvl w:val="0"/>
          <w:numId w:val="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Saving Clause and Severability</w:t>
      </w:r>
      <w:r>
        <w:rPr>
          <w:rFonts w:ascii="Times New Roman" w:cs="Times New Roman" w:eastAsia="Times New Roman" w:hAnsi="Times New Roman"/>
          <w:sz w:val="18"/>
          <w:szCs w:val="18"/>
          <w:color w:val="auto"/>
        </w:rPr>
        <w:t>. If any provision of this Agreement is held to be invalid or unenforceable by any judicial or other competent authority, all other provisions of this Agreement will remain in full force and effect and will not in any way be impaired, provided that no Party is deprived of the material benefits of this Agreement. If owing to the invalidity or unenforceability of any provision of this Agreement any Party is deprived of the material benefits of this Agreement, the Parties shall substitute for the invalid or unenforceable provision, a provision that will allow such Party or Parties to enjoy such material benefits.</w:t>
      </w:r>
    </w:p>
    <w:p>
      <w:pPr>
        <w:spacing w:after="0" w:line="183" w:lineRule="exact"/>
        <w:rPr>
          <w:rFonts w:ascii="Times New Roman" w:cs="Times New Roman" w:eastAsia="Times New Roman" w:hAnsi="Times New Roman"/>
          <w:sz w:val="18"/>
          <w:szCs w:val="18"/>
          <w:color w:val="010000"/>
        </w:rPr>
      </w:pPr>
    </w:p>
    <w:p>
      <w:pPr>
        <w:ind w:right="20" w:firstLine="656"/>
        <w:spacing w:after="0" w:line="282" w:lineRule="auto"/>
        <w:tabs>
          <w:tab w:leader="none" w:pos="931" w:val="left"/>
        </w:tabs>
        <w:numPr>
          <w:ilvl w:val="0"/>
          <w:numId w:val="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shall inure to the benefit of the Parties and shall be binding upon each of the Parties and their permitted assigns, successors, heirs, and representatives.</w:t>
      </w:r>
    </w:p>
    <w:p>
      <w:pPr>
        <w:spacing w:after="0" w:line="161" w:lineRule="exact"/>
        <w:rPr>
          <w:rFonts w:ascii="Times New Roman" w:cs="Times New Roman" w:eastAsia="Times New Roman" w:hAnsi="Times New Roman"/>
          <w:sz w:val="18"/>
          <w:szCs w:val="18"/>
          <w:color w:val="010000"/>
        </w:rPr>
      </w:pPr>
    </w:p>
    <w:p>
      <w:pPr>
        <w:jc w:val="both"/>
        <w:ind w:firstLine="656"/>
        <w:spacing w:after="0" w:line="261" w:lineRule="auto"/>
        <w:tabs>
          <w:tab w:leader="none" w:pos="918" w:val="left"/>
        </w:tabs>
        <w:numPr>
          <w:ilvl w:val="0"/>
          <w:numId w:val="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Authority to Enter Into and Understanding of Agreement</w:t>
      </w:r>
      <w:r>
        <w:rPr>
          <w:rFonts w:ascii="Times New Roman" w:cs="Times New Roman" w:eastAsia="Times New Roman" w:hAnsi="Times New Roman"/>
          <w:sz w:val="18"/>
          <w:szCs w:val="18"/>
          <w:color w:val="auto"/>
        </w:rPr>
        <w:t>. Each Party hereto represents and warrants as respects itself that: (i) the individual executing this Agreement on its behalf is duly authorized to do so; (ii) such Party is entering this Agreement of its own free will, free of any duress, undue influence or compulsion by any person or entity, and has the full authority and capacity necessary to do so; (iii) such Party is represented by counsel of its own choosing in connection with this Agreement; and (iv) such Party has read this Agreement and understands all of the terms hereof.</w:t>
      </w:r>
    </w:p>
    <w:p>
      <w:pPr>
        <w:spacing w:after="0" w:line="179" w:lineRule="exact"/>
        <w:rPr>
          <w:rFonts w:ascii="Times New Roman" w:cs="Times New Roman" w:eastAsia="Times New Roman" w:hAnsi="Times New Roman"/>
          <w:sz w:val="18"/>
          <w:szCs w:val="18"/>
          <w:color w:val="010000"/>
        </w:rPr>
      </w:pPr>
    </w:p>
    <w:p>
      <w:pPr>
        <w:jc w:val="both"/>
        <w:ind w:firstLine="656"/>
        <w:spacing w:after="0" w:line="266" w:lineRule="auto"/>
        <w:tabs>
          <w:tab w:leader="none" w:pos="931" w:val="left"/>
        </w:tabs>
        <w:numPr>
          <w:ilvl w:val="0"/>
          <w:numId w:val="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Agreement Jointly Drafted</w:t>
      </w:r>
      <w:r>
        <w:rPr>
          <w:rFonts w:ascii="Times New Roman" w:cs="Times New Roman" w:eastAsia="Times New Roman" w:hAnsi="Times New Roman"/>
          <w:sz w:val="18"/>
          <w:szCs w:val="18"/>
          <w:color w:val="auto"/>
        </w:rPr>
        <w:t>. The Parties agree that each and every provision of this Agreement and the RRA shall be deemed to have been simultaneously drafted by each of the Parties, and no laws or rules relating to the interpretation of contracts against the drafter of any particular clause should be applied to the interpretation or enforcement of this Agreement or the RRA.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both"/>
        <w:ind w:firstLine="656"/>
        <w:spacing w:after="0" w:line="266" w:lineRule="auto"/>
        <w:tabs>
          <w:tab w:leader="none" w:pos="945" w:val="left"/>
        </w:tabs>
        <w:numPr>
          <w:ilvl w:val="0"/>
          <w:numId w:val="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Non-Inducement</w:t>
      </w:r>
      <w:r>
        <w:rPr>
          <w:rFonts w:ascii="Times New Roman" w:cs="Times New Roman" w:eastAsia="Times New Roman" w:hAnsi="Times New Roman"/>
          <w:sz w:val="18"/>
          <w:szCs w:val="18"/>
          <w:color w:val="auto"/>
        </w:rPr>
        <w:t>. The Parties warrant that no promise or inducement has been made or offered, except as set forth herein, and that this Agreement is executed voluntarily to dispose of all claims identified in this Agreement, without reliance upon any statement or representation by any attorney, agent or other representative acting on behalf of any of the Parties.</w:t>
      </w:r>
    </w:p>
    <w:p>
      <w:pPr>
        <w:spacing w:after="0" w:line="175" w:lineRule="exact"/>
        <w:rPr>
          <w:rFonts w:ascii="Times New Roman" w:cs="Times New Roman" w:eastAsia="Times New Roman" w:hAnsi="Times New Roman"/>
          <w:sz w:val="18"/>
          <w:szCs w:val="18"/>
          <w:color w:val="010000"/>
        </w:rPr>
      </w:pPr>
    </w:p>
    <w:p>
      <w:pPr>
        <w:ind w:firstLine="656"/>
        <w:spacing w:after="0" w:line="282" w:lineRule="auto"/>
        <w:tabs>
          <w:tab w:leader="none" w:pos="931" w:val="left"/>
        </w:tabs>
        <w:numPr>
          <w:ilvl w:val="0"/>
          <w:numId w:val="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Attorneys’ Fees and Costs</w:t>
      </w:r>
      <w:r>
        <w:rPr>
          <w:rFonts w:ascii="Times New Roman" w:cs="Times New Roman" w:eastAsia="Times New Roman" w:hAnsi="Times New Roman"/>
          <w:sz w:val="18"/>
          <w:szCs w:val="18"/>
          <w:color w:val="auto"/>
        </w:rPr>
        <w:t>. Each Party to this Agreement shall bear its own attorneys’ fees and costs arising out of or related to the dispute between the Parties, this Agreement and the claims released herein, and no further claim shall be made therefore.</w:t>
      </w:r>
    </w:p>
    <w:p>
      <w:pPr>
        <w:spacing w:after="0" w:line="161" w:lineRule="exact"/>
        <w:rPr>
          <w:rFonts w:ascii="Times New Roman" w:cs="Times New Roman" w:eastAsia="Times New Roman" w:hAnsi="Times New Roman"/>
          <w:sz w:val="18"/>
          <w:szCs w:val="18"/>
          <w:color w:val="010000"/>
        </w:rPr>
      </w:pPr>
    </w:p>
    <w:p>
      <w:pPr>
        <w:ind w:right="20" w:firstLine="656"/>
        <w:spacing w:after="0" w:line="282" w:lineRule="auto"/>
        <w:tabs>
          <w:tab w:leader="none" w:pos="931" w:val="left"/>
        </w:tabs>
        <w:numPr>
          <w:ilvl w:val="0"/>
          <w:numId w:val="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The provisions of this Agreement are for the sole benefit of the Parties and their successors and permitted assigns, and they will not be construed as conferring any rights (including, without limitation, any third-party beneficiary rights) to any other person.</w:t>
      </w:r>
    </w:p>
    <w:p>
      <w:pPr>
        <w:spacing w:after="0" w:line="161" w:lineRule="exact"/>
        <w:rPr>
          <w:rFonts w:ascii="Times New Roman" w:cs="Times New Roman" w:eastAsia="Times New Roman" w:hAnsi="Times New Roman"/>
          <w:sz w:val="18"/>
          <w:szCs w:val="18"/>
          <w:color w:val="010000"/>
        </w:rPr>
      </w:pPr>
    </w:p>
    <w:p>
      <w:pPr>
        <w:ind w:right="20" w:firstLine="656"/>
        <w:spacing w:after="0" w:line="282" w:lineRule="auto"/>
        <w:tabs>
          <w:tab w:leader="none" w:pos="918" w:val="left"/>
        </w:tabs>
        <w:numPr>
          <w:ilvl w:val="0"/>
          <w:numId w:val="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All notices, requests, and demands to or upon a Party shall be in writing and sent by email and overnight courier as follows (or to such other address or email as either Party may from time to time direct):</w:t>
      </w:r>
    </w:p>
    <w:p>
      <w:pPr>
        <w:spacing w:after="0" w:line="162"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If to Empery:</w:t>
            </w:r>
          </w:p>
        </w:tc>
        <w:tc>
          <w:tcPr>
            <w:tcW w:w="544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c/o Empery Asset Management, LP</w:t>
            </w:r>
          </w:p>
        </w:tc>
      </w:tr>
      <w:tr>
        <w:trPr>
          <w:trHeight w:val="216"/>
        </w:trPr>
        <w:tc>
          <w:tcPr>
            <w:tcW w:w="3140" w:type="dxa"/>
            <w:vAlign w:val="bottom"/>
          </w:tcPr>
          <w:p>
            <w:pPr>
              <w:spacing w:after="0"/>
              <w:rPr>
                <w:sz w:val="18"/>
                <w:szCs w:val="18"/>
                <w:color w:val="auto"/>
              </w:rPr>
            </w:pPr>
          </w:p>
        </w:tc>
        <w:tc>
          <w:tcPr>
            <w:tcW w:w="544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1 Rockefeller Plaza, Suite 1205</w:t>
            </w:r>
          </w:p>
        </w:tc>
      </w:tr>
      <w:tr>
        <w:trPr>
          <w:trHeight w:val="216"/>
        </w:trPr>
        <w:tc>
          <w:tcPr>
            <w:tcW w:w="3140" w:type="dxa"/>
            <w:vAlign w:val="bottom"/>
          </w:tcPr>
          <w:p>
            <w:pPr>
              <w:spacing w:after="0"/>
              <w:rPr>
                <w:sz w:val="18"/>
                <w:szCs w:val="18"/>
                <w:color w:val="auto"/>
              </w:rPr>
            </w:pPr>
          </w:p>
        </w:tc>
        <w:tc>
          <w:tcPr>
            <w:tcW w:w="544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New York, New York 10020</w:t>
            </w:r>
          </w:p>
        </w:tc>
      </w:tr>
      <w:tr>
        <w:trPr>
          <w:trHeight w:val="216"/>
        </w:trPr>
        <w:tc>
          <w:tcPr>
            <w:tcW w:w="3140" w:type="dxa"/>
            <w:vAlign w:val="bottom"/>
          </w:tcPr>
          <w:p>
            <w:pPr>
              <w:spacing w:after="0"/>
              <w:rPr>
                <w:sz w:val="18"/>
                <w:szCs w:val="18"/>
                <w:color w:val="auto"/>
              </w:rPr>
            </w:pPr>
          </w:p>
        </w:tc>
        <w:tc>
          <w:tcPr>
            <w:tcW w:w="544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Attention: Brett Director</w:t>
            </w:r>
          </w:p>
        </w:tc>
      </w:tr>
      <w:tr>
        <w:trPr>
          <w:trHeight w:val="234"/>
        </w:trPr>
        <w:tc>
          <w:tcPr>
            <w:tcW w:w="3140" w:type="dxa"/>
            <w:vAlign w:val="bottom"/>
          </w:tcPr>
          <w:p>
            <w:pPr>
              <w:spacing w:after="0"/>
              <w:rPr>
                <w:sz w:val="20"/>
                <w:szCs w:val="20"/>
                <w:color w:val="auto"/>
              </w:rPr>
            </w:pPr>
          </w:p>
        </w:tc>
        <w:tc>
          <w:tcPr>
            <w:tcW w:w="544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E-mail: notices@emperyam.com</w:t>
            </w:r>
          </w:p>
        </w:tc>
      </w:tr>
      <w:tr>
        <w:trPr>
          <w:trHeight w:val="432"/>
        </w:trPr>
        <w:tc>
          <w:tcPr>
            <w:tcW w:w="3140" w:type="dxa"/>
            <w:vAlign w:val="bottom"/>
          </w:tcPr>
          <w:p>
            <w:pPr>
              <w:spacing w:after="0"/>
              <w:rPr>
                <w:sz w:val="24"/>
                <w:szCs w:val="24"/>
                <w:color w:val="auto"/>
              </w:rPr>
            </w:pPr>
          </w:p>
        </w:tc>
        <w:tc>
          <w:tcPr>
            <w:tcW w:w="544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w w:val="99"/>
              </w:rPr>
              <w:t>With a copy (which shall not constitute notice) to:</w:t>
            </w:r>
          </w:p>
        </w:tc>
      </w:tr>
      <w:tr>
        <w:trPr>
          <w:trHeight w:val="414"/>
        </w:trPr>
        <w:tc>
          <w:tcPr>
            <w:tcW w:w="3140" w:type="dxa"/>
            <w:vAlign w:val="bottom"/>
          </w:tcPr>
          <w:p>
            <w:pPr>
              <w:spacing w:after="0"/>
              <w:rPr>
                <w:sz w:val="24"/>
                <w:szCs w:val="24"/>
                <w:color w:val="auto"/>
              </w:rPr>
            </w:pPr>
          </w:p>
        </w:tc>
        <w:tc>
          <w:tcPr>
            <w:tcW w:w="544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Schulte Roth &amp; Zabel, LLP</w:t>
            </w:r>
          </w:p>
        </w:tc>
      </w:tr>
      <w:tr>
        <w:trPr>
          <w:trHeight w:val="216"/>
        </w:trPr>
        <w:tc>
          <w:tcPr>
            <w:tcW w:w="3140" w:type="dxa"/>
            <w:vAlign w:val="bottom"/>
          </w:tcPr>
          <w:p>
            <w:pPr>
              <w:spacing w:after="0"/>
              <w:rPr>
                <w:sz w:val="18"/>
                <w:szCs w:val="18"/>
                <w:color w:val="auto"/>
              </w:rPr>
            </w:pPr>
          </w:p>
        </w:tc>
        <w:tc>
          <w:tcPr>
            <w:tcW w:w="544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919 Third Avenue</w:t>
            </w:r>
          </w:p>
        </w:tc>
      </w:tr>
      <w:tr>
        <w:trPr>
          <w:trHeight w:val="216"/>
        </w:trPr>
        <w:tc>
          <w:tcPr>
            <w:tcW w:w="3140" w:type="dxa"/>
            <w:vAlign w:val="bottom"/>
          </w:tcPr>
          <w:p>
            <w:pPr>
              <w:spacing w:after="0"/>
              <w:rPr>
                <w:sz w:val="18"/>
                <w:szCs w:val="18"/>
                <w:color w:val="auto"/>
              </w:rPr>
            </w:pPr>
          </w:p>
        </w:tc>
        <w:tc>
          <w:tcPr>
            <w:tcW w:w="544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New York, New York 10022</w:t>
            </w:r>
          </w:p>
        </w:tc>
      </w:tr>
      <w:tr>
        <w:trPr>
          <w:trHeight w:val="216"/>
        </w:trPr>
        <w:tc>
          <w:tcPr>
            <w:tcW w:w="3140" w:type="dxa"/>
            <w:vAlign w:val="bottom"/>
          </w:tcPr>
          <w:p>
            <w:pPr>
              <w:spacing w:after="0"/>
              <w:rPr>
                <w:sz w:val="18"/>
                <w:szCs w:val="18"/>
                <w:color w:val="auto"/>
              </w:rPr>
            </w:pPr>
          </w:p>
        </w:tc>
        <w:tc>
          <w:tcPr>
            <w:tcW w:w="544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Attention: Andrew D. Gladstein</w:t>
            </w:r>
          </w:p>
        </w:tc>
      </w:tr>
      <w:tr>
        <w:trPr>
          <w:trHeight w:val="234"/>
        </w:trPr>
        <w:tc>
          <w:tcPr>
            <w:tcW w:w="3140" w:type="dxa"/>
            <w:vAlign w:val="bottom"/>
          </w:tcPr>
          <w:p>
            <w:pPr>
              <w:spacing w:after="0"/>
              <w:rPr>
                <w:sz w:val="20"/>
                <w:szCs w:val="20"/>
                <w:color w:val="auto"/>
              </w:rPr>
            </w:pPr>
          </w:p>
        </w:tc>
        <w:tc>
          <w:tcPr>
            <w:tcW w:w="544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Email: andrew.gladstein@srz.com</w:t>
            </w:r>
          </w:p>
        </w:tc>
      </w:tr>
      <w:tr>
        <w:trPr>
          <w:trHeight w:val="417"/>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If to Hudson Bay:</w:t>
            </w:r>
          </w:p>
        </w:tc>
        <w:tc>
          <w:tcPr>
            <w:tcW w:w="544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c/o Hudson Bay Capital Management, LP</w:t>
            </w:r>
          </w:p>
        </w:tc>
      </w:tr>
      <w:tr>
        <w:trPr>
          <w:trHeight w:val="253"/>
        </w:trPr>
        <w:tc>
          <w:tcPr>
            <w:tcW w:w="3140" w:type="dxa"/>
            <w:vAlign w:val="bottom"/>
          </w:tcPr>
          <w:p>
            <w:pPr>
              <w:spacing w:after="0"/>
              <w:rPr>
                <w:sz w:val="21"/>
                <w:szCs w:val="21"/>
                <w:color w:val="auto"/>
              </w:rPr>
            </w:pPr>
          </w:p>
        </w:tc>
        <w:tc>
          <w:tcPr>
            <w:tcW w:w="5440" w:type="dxa"/>
            <w:vAlign w:val="bottom"/>
            <w:gridSpan w:val="3"/>
          </w:tcPr>
          <w:p>
            <w:pPr>
              <w:ind w:left="1840"/>
              <w:spacing w:after="0" w:line="252" w:lineRule="exact"/>
              <w:rPr>
                <w:sz w:val="20"/>
                <w:szCs w:val="20"/>
                <w:color w:val="auto"/>
              </w:rPr>
            </w:pPr>
            <w:r>
              <w:rPr>
                <w:rFonts w:ascii="Times New Roman" w:cs="Times New Roman" w:eastAsia="Times New Roman" w:hAnsi="Times New Roman"/>
                <w:sz w:val="18"/>
                <w:szCs w:val="18"/>
                <w:color w:val="auto"/>
              </w:rPr>
              <w:t>28 Havemeyer Place,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Floor</w:t>
            </w:r>
          </w:p>
        </w:tc>
      </w:tr>
      <w:tr>
        <w:trPr>
          <w:trHeight w:val="216"/>
        </w:trPr>
        <w:tc>
          <w:tcPr>
            <w:tcW w:w="3140" w:type="dxa"/>
            <w:vAlign w:val="bottom"/>
          </w:tcPr>
          <w:p>
            <w:pPr>
              <w:spacing w:after="0"/>
              <w:rPr>
                <w:sz w:val="18"/>
                <w:szCs w:val="18"/>
                <w:color w:val="auto"/>
              </w:rPr>
            </w:pPr>
          </w:p>
        </w:tc>
        <w:tc>
          <w:tcPr>
            <w:tcW w:w="544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Greenwich, Connecticut 06830</w:t>
            </w:r>
          </w:p>
        </w:tc>
      </w:tr>
      <w:tr>
        <w:trPr>
          <w:trHeight w:val="216"/>
        </w:trPr>
        <w:tc>
          <w:tcPr>
            <w:tcW w:w="3140" w:type="dxa"/>
            <w:vAlign w:val="bottom"/>
          </w:tcPr>
          <w:p>
            <w:pPr>
              <w:spacing w:after="0"/>
              <w:rPr>
                <w:sz w:val="18"/>
                <w:szCs w:val="18"/>
                <w:color w:val="auto"/>
              </w:rPr>
            </w:pPr>
          </w:p>
        </w:tc>
        <w:tc>
          <w:tcPr>
            <w:tcW w:w="544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Attention: DITeam</w:t>
            </w:r>
          </w:p>
        </w:tc>
      </w:tr>
      <w:tr>
        <w:trPr>
          <w:trHeight w:val="234"/>
        </w:trPr>
        <w:tc>
          <w:tcPr>
            <w:tcW w:w="3140" w:type="dxa"/>
            <w:vAlign w:val="bottom"/>
          </w:tcPr>
          <w:p>
            <w:pPr>
              <w:spacing w:after="0"/>
              <w:rPr>
                <w:sz w:val="20"/>
                <w:szCs w:val="20"/>
                <w:color w:val="auto"/>
              </w:rPr>
            </w:pPr>
          </w:p>
        </w:tc>
        <w:tc>
          <w:tcPr>
            <w:tcW w:w="544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Email: diteam@hudsonbaycapital.com</w:t>
            </w:r>
          </w:p>
        </w:tc>
      </w:tr>
      <w:tr>
        <w:trPr>
          <w:trHeight w:val="432"/>
        </w:trPr>
        <w:tc>
          <w:tcPr>
            <w:tcW w:w="3140" w:type="dxa"/>
            <w:vAlign w:val="bottom"/>
          </w:tcPr>
          <w:p>
            <w:pPr>
              <w:spacing w:after="0"/>
              <w:rPr>
                <w:sz w:val="24"/>
                <w:szCs w:val="24"/>
                <w:color w:val="auto"/>
              </w:rPr>
            </w:pPr>
          </w:p>
        </w:tc>
        <w:tc>
          <w:tcPr>
            <w:tcW w:w="544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w w:val="99"/>
              </w:rPr>
              <w:t>With a copy (which shall not constitute notice) to:</w:t>
            </w:r>
          </w:p>
        </w:tc>
      </w:tr>
      <w:tr>
        <w:trPr>
          <w:trHeight w:val="414"/>
        </w:trPr>
        <w:tc>
          <w:tcPr>
            <w:tcW w:w="3140" w:type="dxa"/>
            <w:vAlign w:val="bottom"/>
          </w:tcPr>
          <w:p>
            <w:pPr>
              <w:spacing w:after="0"/>
              <w:rPr>
                <w:sz w:val="24"/>
                <w:szCs w:val="24"/>
                <w:color w:val="auto"/>
              </w:rPr>
            </w:pPr>
          </w:p>
        </w:tc>
        <w:tc>
          <w:tcPr>
            <w:tcW w:w="544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Schulte Roth &amp; Zabel LLP</w:t>
            </w:r>
          </w:p>
        </w:tc>
      </w:tr>
      <w:tr>
        <w:trPr>
          <w:trHeight w:val="216"/>
        </w:trPr>
        <w:tc>
          <w:tcPr>
            <w:tcW w:w="3140" w:type="dxa"/>
            <w:vAlign w:val="bottom"/>
          </w:tcPr>
          <w:p>
            <w:pPr>
              <w:spacing w:after="0"/>
              <w:rPr>
                <w:sz w:val="18"/>
                <w:szCs w:val="18"/>
                <w:color w:val="auto"/>
              </w:rPr>
            </w:pPr>
          </w:p>
        </w:tc>
        <w:tc>
          <w:tcPr>
            <w:tcW w:w="544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919 Third Avenue</w:t>
            </w:r>
          </w:p>
        </w:tc>
      </w:tr>
      <w:tr>
        <w:trPr>
          <w:trHeight w:val="216"/>
        </w:trPr>
        <w:tc>
          <w:tcPr>
            <w:tcW w:w="3140" w:type="dxa"/>
            <w:vAlign w:val="bottom"/>
          </w:tcPr>
          <w:p>
            <w:pPr>
              <w:spacing w:after="0"/>
              <w:rPr>
                <w:sz w:val="18"/>
                <w:szCs w:val="18"/>
                <w:color w:val="auto"/>
              </w:rPr>
            </w:pPr>
          </w:p>
        </w:tc>
        <w:tc>
          <w:tcPr>
            <w:tcW w:w="544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New York, New York 10022</w:t>
            </w:r>
          </w:p>
        </w:tc>
      </w:tr>
      <w:tr>
        <w:trPr>
          <w:trHeight w:val="216"/>
        </w:trPr>
        <w:tc>
          <w:tcPr>
            <w:tcW w:w="3140" w:type="dxa"/>
            <w:vAlign w:val="bottom"/>
          </w:tcPr>
          <w:p>
            <w:pPr>
              <w:spacing w:after="0"/>
              <w:rPr>
                <w:sz w:val="18"/>
                <w:szCs w:val="18"/>
                <w:color w:val="auto"/>
              </w:rPr>
            </w:pPr>
          </w:p>
        </w:tc>
        <w:tc>
          <w:tcPr>
            <w:tcW w:w="544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Attention: Andrew D. Gladstein</w:t>
            </w:r>
          </w:p>
        </w:tc>
      </w:tr>
      <w:tr>
        <w:trPr>
          <w:trHeight w:val="234"/>
        </w:trPr>
        <w:tc>
          <w:tcPr>
            <w:tcW w:w="3140" w:type="dxa"/>
            <w:vAlign w:val="bottom"/>
          </w:tcPr>
          <w:p>
            <w:pPr>
              <w:spacing w:after="0"/>
              <w:rPr>
                <w:sz w:val="20"/>
                <w:szCs w:val="20"/>
                <w:color w:val="auto"/>
              </w:rPr>
            </w:pPr>
          </w:p>
        </w:tc>
        <w:tc>
          <w:tcPr>
            <w:tcW w:w="544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Email: andrew.gladstein@srz.com</w:t>
            </w:r>
          </w:p>
        </w:tc>
      </w:tr>
      <w:tr>
        <w:trPr>
          <w:trHeight w:val="41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If to Microbot</w:t>
            </w:r>
          </w:p>
        </w:tc>
        <w:tc>
          <w:tcPr>
            <w:tcW w:w="544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Microbot Medical Inc.</w:t>
            </w:r>
          </w:p>
        </w:tc>
      </w:tr>
      <w:tr>
        <w:trPr>
          <w:trHeight w:val="216"/>
        </w:trPr>
        <w:tc>
          <w:tcPr>
            <w:tcW w:w="3140" w:type="dxa"/>
            <w:vAlign w:val="bottom"/>
          </w:tcPr>
          <w:p>
            <w:pPr>
              <w:spacing w:after="0"/>
              <w:rPr>
                <w:sz w:val="18"/>
                <w:szCs w:val="18"/>
                <w:color w:val="auto"/>
              </w:rPr>
            </w:pPr>
          </w:p>
        </w:tc>
        <w:tc>
          <w:tcPr>
            <w:tcW w:w="544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288 Grove Street, Suite 388</w:t>
            </w:r>
          </w:p>
        </w:tc>
      </w:tr>
      <w:tr>
        <w:trPr>
          <w:trHeight w:val="216"/>
        </w:trPr>
        <w:tc>
          <w:tcPr>
            <w:tcW w:w="3140" w:type="dxa"/>
            <w:vAlign w:val="bottom"/>
          </w:tcPr>
          <w:p>
            <w:pPr>
              <w:spacing w:after="0"/>
              <w:rPr>
                <w:sz w:val="18"/>
                <w:szCs w:val="18"/>
                <w:color w:val="auto"/>
              </w:rPr>
            </w:pPr>
          </w:p>
        </w:tc>
        <w:tc>
          <w:tcPr>
            <w:tcW w:w="544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Braintree, MA 02184</w:t>
            </w:r>
          </w:p>
        </w:tc>
      </w:tr>
      <w:tr>
        <w:trPr>
          <w:trHeight w:val="216"/>
        </w:trPr>
        <w:tc>
          <w:tcPr>
            <w:tcW w:w="3140" w:type="dxa"/>
            <w:vAlign w:val="bottom"/>
          </w:tcPr>
          <w:p>
            <w:pPr>
              <w:spacing w:after="0"/>
              <w:rPr>
                <w:sz w:val="18"/>
                <w:szCs w:val="18"/>
                <w:color w:val="auto"/>
              </w:rPr>
            </w:pPr>
          </w:p>
        </w:tc>
        <w:tc>
          <w:tcPr>
            <w:tcW w:w="544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Attention: Harel Gadot</w:t>
            </w:r>
          </w:p>
        </w:tc>
      </w:tr>
      <w:tr>
        <w:trPr>
          <w:trHeight w:val="194"/>
        </w:trPr>
        <w:tc>
          <w:tcPr>
            <w:tcW w:w="3140" w:type="dxa"/>
            <w:vAlign w:val="bottom"/>
          </w:tcPr>
          <w:p>
            <w:pPr>
              <w:spacing w:after="0"/>
              <w:rPr>
                <w:sz w:val="16"/>
                <w:szCs w:val="16"/>
                <w:color w:val="auto"/>
              </w:rPr>
            </w:pPr>
          </w:p>
        </w:tc>
        <w:tc>
          <w:tcPr>
            <w:tcW w:w="5440" w:type="dxa"/>
            <w:vAlign w:val="bottom"/>
            <w:gridSpan w:val="3"/>
          </w:tcPr>
          <w:p>
            <w:pPr>
              <w:ind w:left="1840"/>
              <w:spacing w:after="0" w:line="194" w:lineRule="exact"/>
              <w:rPr>
                <w:sz w:val="20"/>
                <w:szCs w:val="20"/>
                <w:color w:val="auto"/>
              </w:rPr>
            </w:pPr>
            <w:r>
              <w:rPr>
                <w:rFonts w:ascii="Times New Roman" w:cs="Times New Roman" w:eastAsia="Times New Roman" w:hAnsi="Times New Roman"/>
                <w:sz w:val="18"/>
                <w:szCs w:val="18"/>
                <w:color w:val="auto"/>
              </w:rPr>
              <w:t>Email: info@microbotmedical.com</w:t>
            </w:r>
          </w:p>
        </w:tc>
      </w:tr>
      <w:tr>
        <w:trPr>
          <w:trHeight w:val="20"/>
        </w:trPr>
        <w:tc>
          <w:tcPr>
            <w:tcW w:w="31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53"/>
        </w:trPr>
        <w:tc>
          <w:tcPr>
            <w:tcW w:w="3140" w:type="dxa"/>
            <w:vAlign w:val="bottom"/>
          </w:tcPr>
          <w:p>
            <w:pPr>
              <w:spacing w:after="0"/>
              <w:rPr>
                <w:sz w:val="24"/>
                <w:szCs w:val="24"/>
                <w:color w:val="auto"/>
              </w:rPr>
            </w:pPr>
          </w:p>
        </w:tc>
        <w:tc>
          <w:tcPr>
            <w:tcW w:w="544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w w:val="99"/>
              </w:rPr>
              <w:t>With a copy (which shall not constitute notice) to:</w:t>
            </w:r>
          </w:p>
        </w:tc>
      </w:tr>
      <w:tr>
        <w:trPr>
          <w:trHeight w:val="414"/>
        </w:trPr>
        <w:tc>
          <w:tcPr>
            <w:tcW w:w="3140" w:type="dxa"/>
            <w:vAlign w:val="bottom"/>
          </w:tcPr>
          <w:p>
            <w:pPr>
              <w:spacing w:after="0"/>
              <w:rPr>
                <w:sz w:val="24"/>
                <w:szCs w:val="24"/>
                <w:color w:val="auto"/>
              </w:rPr>
            </w:pPr>
          </w:p>
        </w:tc>
        <w:tc>
          <w:tcPr>
            <w:tcW w:w="544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Mintz Levin Cohn Ferris</w:t>
            </w:r>
          </w:p>
        </w:tc>
      </w:tr>
      <w:tr>
        <w:trPr>
          <w:trHeight w:val="216"/>
        </w:trPr>
        <w:tc>
          <w:tcPr>
            <w:tcW w:w="3140" w:type="dxa"/>
            <w:vAlign w:val="bottom"/>
          </w:tcPr>
          <w:p>
            <w:pPr>
              <w:spacing w:after="0"/>
              <w:rPr>
                <w:sz w:val="18"/>
                <w:szCs w:val="18"/>
                <w:color w:val="auto"/>
              </w:rPr>
            </w:pPr>
          </w:p>
        </w:tc>
        <w:tc>
          <w:tcPr>
            <w:tcW w:w="544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Glovsky and Popeo, P.C.</w:t>
            </w:r>
          </w:p>
        </w:tc>
      </w:tr>
      <w:tr>
        <w:trPr>
          <w:trHeight w:val="216"/>
        </w:trPr>
        <w:tc>
          <w:tcPr>
            <w:tcW w:w="3140" w:type="dxa"/>
            <w:vAlign w:val="bottom"/>
          </w:tcPr>
          <w:p>
            <w:pPr>
              <w:spacing w:after="0"/>
              <w:rPr>
                <w:sz w:val="18"/>
                <w:szCs w:val="18"/>
                <w:color w:val="auto"/>
              </w:rPr>
            </w:pPr>
          </w:p>
        </w:tc>
        <w:tc>
          <w:tcPr>
            <w:tcW w:w="544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One Financial Center</w:t>
            </w:r>
          </w:p>
        </w:tc>
      </w:tr>
      <w:tr>
        <w:trPr>
          <w:trHeight w:val="216"/>
        </w:trPr>
        <w:tc>
          <w:tcPr>
            <w:tcW w:w="3140" w:type="dxa"/>
            <w:vAlign w:val="bottom"/>
          </w:tcPr>
          <w:p>
            <w:pPr>
              <w:spacing w:after="0"/>
              <w:rPr>
                <w:sz w:val="18"/>
                <w:szCs w:val="18"/>
                <w:color w:val="auto"/>
              </w:rPr>
            </w:pPr>
          </w:p>
        </w:tc>
        <w:tc>
          <w:tcPr>
            <w:tcW w:w="544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Boston, MA 02111</w:t>
            </w:r>
          </w:p>
        </w:tc>
      </w:tr>
      <w:tr>
        <w:trPr>
          <w:trHeight w:val="216"/>
        </w:trPr>
        <w:tc>
          <w:tcPr>
            <w:tcW w:w="3140" w:type="dxa"/>
            <w:vAlign w:val="bottom"/>
          </w:tcPr>
          <w:p>
            <w:pPr>
              <w:spacing w:after="0"/>
              <w:rPr>
                <w:sz w:val="18"/>
                <w:szCs w:val="18"/>
                <w:color w:val="auto"/>
              </w:rPr>
            </w:pPr>
          </w:p>
        </w:tc>
        <w:tc>
          <w:tcPr>
            <w:tcW w:w="544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Attention: John F. Sylvia</w:t>
            </w:r>
          </w:p>
        </w:tc>
      </w:tr>
      <w:tr>
        <w:trPr>
          <w:trHeight w:val="234"/>
        </w:trPr>
        <w:tc>
          <w:tcPr>
            <w:tcW w:w="3140" w:type="dxa"/>
            <w:vAlign w:val="bottom"/>
          </w:tcPr>
          <w:p>
            <w:pPr>
              <w:spacing w:after="0"/>
              <w:rPr>
                <w:sz w:val="20"/>
                <w:szCs w:val="20"/>
                <w:color w:val="auto"/>
              </w:rPr>
            </w:pPr>
          </w:p>
        </w:tc>
        <w:tc>
          <w:tcPr>
            <w:tcW w:w="544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Email: jfsylvia@mintz.com</w:t>
            </w:r>
          </w:p>
        </w:tc>
      </w:tr>
    </w:tbl>
    <w:p>
      <w:pPr>
        <w:spacing w:after="0" w:line="198" w:lineRule="exact"/>
        <w:rPr>
          <w:sz w:val="20"/>
          <w:szCs w:val="20"/>
          <w:color w:val="auto"/>
        </w:rPr>
      </w:pPr>
    </w:p>
    <w:p>
      <w:pPr>
        <w:ind w:firstLine="656"/>
        <w:spacing w:after="0" w:line="282" w:lineRule="auto"/>
        <w:tabs>
          <w:tab w:leader="none" w:pos="918" w:val="left"/>
        </w:tabs>
        <w:numPr>
          <w:ilvl w:val="0"/>
          <w:numId w:val="1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No Assignment</w:t>
      </w:r>
      <w:r>
        <w:rPr>
          <w:rFonts w:ascii="Times New Roman" w:cs="Times New Roman" w:eastAsia="Times New Roman" w:hAnsi="Times New Roman"/>
          <w:sz w:val="18"/>
          <w:szCs w:val="18"/>
          <w:color w:val="auto"/>
        </w:rPr>
        <w:t>. This Agreement may not be assigned, conveyed or otherwise transferred, in whole or in part, by either Party (other than by the operation of law in connection with a merger or sale) without express written consent of the non-assigning Party.</w:t>
      </w:r>
    </w:p>
    <w:p>
      <w:pPr>
        <w:spacing w:after="0" w:line="161" w:lineRule="exact"/>
        <w:rPr>
          <w:rFonts w:ascii="Times New Roman" w:cs="Times New Roman" w:eastAsia="Times New Roman" w:hAnsi="Times New Roman"/>
          <w:sz w:val="18"/>
          <w:szCs w:val="18"/>
          <w:color w:val="010000"/>
        </w:rPr>
      </w:pPr>
    </w:p>
    <w:p>
      <w:pPr>
        <w:ind w:right="20" w:firstLine="656"/>
        <w:spacing w:after="0" w:line="282" w:lineRule="auto"/>
        <w:tabs>
          <w:tab w:leader="none" w:pos="931" w:val="left"/>
        </w:tabs>
        <w:numPr>
          <w:ilvl w:val="0"/>
          <w:numId w:val="1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and each counterpart, when executed, shall have the efficacy of a signed original. Photographic, emailed, imaged and facsimiled copies of such signed counterparts may be used in lieu of the originals for any purpose.</w:t>
      </w:r>
    </w:p>
    <w:p>
      <w:pPr>
        <w:spacing w:after="0" w:line="161" w:lineRule="exact"/>
        <w:rPr>
          <w:rFonts w:ascii="Times New Roman" w:cs="Times New Roman" w:eastAsia="Times New Roman" w:hAnsi="Times New Roman"/>
          <w:sz w:val="18"/>
          <w:szCs w:val="18"/>
          <w:color w:val="010000"/>
        </w:rPr>
      </w:pPr>
    </w:p>
    <w:p>
      <w:pPr>
        <w:ind w:firstLine="656"/>
        <w:spacing w:after="0" w:line="282" w:lineRule="auto"/>
        <w:tabs>
          <w:tab w:leader="none" w:pos="918" w:val="left"/>
        </w:tabs>
        <w:numPr>
          <w:ilvl w:val="0"/>
          <w:numId w:val="1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the paragraphs of this Agreement have been inserted for reference only and are not part of this Agreement and are not to be used in any way in the construction or interpretation hereof.</w:t>
      </w:r>
    </w:p>
    <w:p>
      <w:pPr>
        <w:spacing w:after="0" w:line="1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IN WITNESS WHEREOF, intending to be legally bound hereby, the undersigned have executed this Agreement as of the Effective Date.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on next page]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434" w:gutter="0" w:footer="0" w:header="0"/>
        </w:sectPr>
      </w:pPr>
    </w:p>
    <w:bookmarkStart w:id="13" w:name="page14"/>
    <w:bookmarkEnd w:id="13"/>
    <w:p>
      <w:pPr>
        <w:ind w:left="4520"/>
        <w:spacing w:after="0"/>
        <w:rPr>
          <w:sz w:val="20"/>
          <w:szCs w:val="20"/>
          <w:color w:val="auto"/>
        </w:rPr>
      </w:pPr>
      <w:r>
        <w:rPr>
          <w:rFonts w:ascii="Times New Roman" w:cs="Times New Roman" w:eastAsia="Times New Roman" w:hAnsi="Times New Roman"/>
          <w:sz w:val="18"/>
          <w:szCs w:val="18"/>
          <w:color w:val="auto"/>
        </w:rPr>
        <w:t>EMPERY ASSET MASTER LTD.</w:t>
      </w:r>
    </w:p>
    <w:p>
      <w:pPr>
        <w:spacing w:after="0" w:line="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Empery Asset Management, LP, its authorized agent</w:t>
      </w:r>
    </w:p>
    <w:p>
      <w:pPr>
        <w:spacing w:after="0" w:line="20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/s/ Brett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27305</wp:posOffset>
            </wp:positionV>
            <wp:extent cx="35572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Brett Director</w:t>
      </w:r>
    </w:p>
    <w:p>
      <w:pPr>
        <w:spacing w:after="0" w:line="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EMPERY TAX EFFICIENT, LP</w:t>
      </w:r>
    </w:p>
    <w:p>
      <w:pPr>
        <w:spacing w:after="0" w:line="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Empery Asset Management, LP, its authorized agent</w:t>
      </w:r>
    </w:p>
    <w:p>
      <w:pPr>
        <w:spacing w:after="0" w:line="20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/s/ Brett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27305</wp:posOffset>
            </wp:positionV>
            <wp:extent cx="35572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Brett Director</w:t>
      </w:r>
    </w:p>
    <w:p>
      <w:pPr>
        <w:spacing w:after="0" w:line="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EMPERY TAX EFFICIENT III, LP</w:t>
      </w:r>
    </w:p>
    <w:p>
      <w:pPr>
        <w:spacing w:after="0" w:line="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Empery Asset Management, LP, its authorized agent</w:t>
      </w:r>
    </w:p>
    <w:p>
      <w:pPr>
        <w:spacing w:after="0" w:line="20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/s/ Brett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27305</wp:posOffset>
            </wp:positionV>
            <wp:extent cx="35572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Brett Director</w:t>
      </w:r>
    </w:p>
    <w:p>
      <w:pPr>
        <w:spacing w:after="0" w:line="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HUDSON BAY MASTER FUND LTD.</w:t>
      </w:r>
    </w:p>
    <w:p>
      <w:pPr>
        <w:spacing w:after="0" w:line="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Hudson Bay Capital Management, LP</w:t>
      </w:r>
    </w:p>
    <w:p>
      <w:pPr>
        <w:spacing w:after="0" w:line="20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/s/ Richard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27305</wp:posOffset>
            </wp:positionV>
            <wp:extent cx="35572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Richard Allison</w:t>
      </w:r>
    </w:p>
    <w:p>
      <w:pPr>
        <w:spacing w:after="0" w:line="27" w:lineRule="exact"/>
        <w:rPr>
          <w:sz w:val="20"/>
          <w:szCs w:val="20"/>
          <w:color w:val="auto"/>
        </w:rPr>
      </w:pPr>
    </w:p>
    <w:p>
      <w:pPr>
        <w:ind w:left="4520"/>
        <w:spacing w:after="0" w:line="255" w:lineRule="auto"/>
        <w:rPr>
          <w:sz w:val="20"/>
          <w:szCs w:val="20"/>
          <w:color w:val="auto"/>
        </w:rPr>
      </w:pPr>
      <w:r>
        <w:rPr>
          <w:rFonts w:ascii="Times New Roman" w:cs="Times New Roman" w:eastAsia="Times New Roman" w:hAnsi="Times New Roman"/>
          <w:sz w:val="18"/>
          <w:szCs w:val="18"/>
          <w:color w:val="auto"/>
        </w:rPr>
        <w:t>Title of Authorized Signatory: Authorized Signatory, Hudson Bay Capital Management LP not individually, but solely as Investment Advisor to Hudson Bay Master Fund Ltd.</w:t>
      </w:r>
    </w:p>
    <w:p>
      <w:pPr>
        <w:spacing w:after="0" w:line="18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MICROBOT MEDICAL INC.</w:t>
      </w: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27305</wp:posOffset>
            </wp:positionV>
            <wp:extent cx="35572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2"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Harel Gadot</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of Authorized Signatory: CEO &amp; President</w:t>
      </w:r>
    </w:p>
    <w:p>
      <w:pPr>
        <w:spacing w:after="0" w:line="2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40"/>
          </w:cols>
          <w:pgMar w:left="1440" w:top="688" w:right="6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7"/>
                <w:szCs w:val="17"/>
                <w:color w:val="auto"/>
              </w:rPr>
            </w:pPr>
          </w:p>
        </w:tc>
        <w:tc>
          <w:tcPr>
            <w:tcW w:w="3420" w:type="dxa"/>
            <w:vAlign w:val="bottom"/>
            <w:gridSpan w:val="5"/>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Schedule A</w:t>
            </w:r>
          </w:p>
        </w:tc>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3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Cash Settlement</w:t>
            </w: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90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 of Shares</w:t>
            </w:r>
          </w:p>
        </w:tc>
      </w:tr>
      <w:tr>
        <w:trPr>
          <w:trHeight w:val="216"/>
        </w:trPr>
        <w:tc>
          <w:tcPr>
            <w:tcW w:w="37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Empery Asset Master, Ltd.</w:t>
            </w:r>
          </w:p>
        </w:tc>
        <w:tc>
          <w:tcPr>
            <w:tcW w:w="342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290,608.97</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280,574</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Wire Instructions:</w:t>
            </w:r>
          </w:p>
        </w:tc>
        <w:tc>
          <w:tcPr>
            <w:tcW w:w="1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Empery Tax Efficient, LP</w:t>
            </w:r>
          </w:p>
        </w:tc>
        <w:tc>
          <w:tcPr>
            <w:tcW w:w="342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146,042.56</w:t>
            </w:r>
          </w:p>
        </w:tc>
        <w:tc>
          <w:tcPr>
            <w:tcW w:w="120" w:type="dxa"/>
            <w:vAlign w:val="bottom"/>
          </w:tcPr>
          <w:p>
            <w:pPr>
              <w:spacing w:after="0"/>
              <w:rPr>
                <w:sz w:val="18"/>
                <w:szCs w:val="18"/>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140,999</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Wire Instructions:</w:t>
            </w:r>
          </w:p>
        </w:tc>
        <w:tc>
          <w:tcPr>
            <w:tcW w:w="1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Empery Tax Efficient III, LP</w:t>
            </w:r>
          </w:p>
        </w:tc>
        <w:tc>
          <w:tcPr>
            <w:tcW w:w="342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188,515.67</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182,006</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Wire Instructions:</w:t>
            </w:r>
          </w:p>
        </w:tc>
        <w:tc>
          <w:tcPr>
            <w:tcW w:w="1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Hudson Bay Master Fund Ltd.</w:t>
            </w:r>
          </w:p>
        </w:tc>
        <w:tc>
          <w:tcPr>
            <w:tcW w:w="342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474,832.80</w:t>
            </w:r>
          </w:p>
        </w:tc>
        <w:tc>
          <w:tcPr>
            <w:tcW w:w="120" w:type="dxa"/>
            <w:vAlign w:val="bottom"/>
          </w:tcPr>
          <w:p>
            <w:pPr>
              <w:spacing w:after="0"/>
              <w:rPr>
                <w:sz w:val="20"/>
                <w:szCs w:val="20"/>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402,386</w:t>
            </w:r>
          </w:p>
        </w:tc>
      </w:tr>
      <w:tr>
        <w:trPr>
          <w:trHeight w:val="221"/>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Wire Instructions:</w:t>
            </w:r>
          </w:p>
        </w:tc>
        <w:tc>
          <w:tcPr>
            <w:tcW w:w="14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2"/>
        </w:trPr>
        <w:tc>
          <w:tcPr>
            <w:tcW w:w="378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214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1,100,000.00</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1,005,965</w:t>
            </w:r>
          </w:p>
        </w:tc>
      </w:tr>
      <w:tr>
        <w:trPr>
          <w:trHeight w:val="439"/>
        </w:trPr>
        <w:tc>
          <w:tcPr>
            <w:tcW w:w="30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jc w:val="right"/>
              <w:ind w:right="1710"/>
              <w:spacing w:after="0"/>
              <w:rPr>
                <w:sz w:val="20"/>
                <w:szCs w:val="20"/>
                <w:color w:val="auto"/>
              </w:rPr>
            </w:pPr>
            <w:r>
              <w:rPr>
                <w:rFonts w:ascii="Times New Roman" w:cs="Times New Roman" w:eastAsia="Times New Roman" w:hAnsi="Times New Roman"/>
                <w:sz w:val="18"/>
                <w:szCs w:val="18"/>
                <w:color w:val="auto"/>
              </w:rPr>
              <w:t>11</w:t>
            </w:r>
          </w:p>
        </w:tc>
        <w:tc>
          <w:tcPr>
            <w:tcW w:w="2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5"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January 26, 2024, between Microbot Medical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of the several entities signatory hereto (each such entity, a “</w:t>
      </w:r>
      <w:r>
        <w:rPr>
          <w:rFonts w:ascii="Times New Roman" w:cs="Times New Roman" w:eastAsia="Times New Roman" w:hAnsi="Times New Roman"/>
          <w:sz w:val="18"/>
          <w:szCs w:val="18"/>
          <w:u w:val="single" w:color="auto"/>
          <w:color w:val="auto"/>
        </w:rPr>
        <w:t>Plaintiff</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Plaintiffs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Agreement is made pursuant to the Settlement Agreement and Release, dated as of the date hereof, between the Company and each Plaintiff (the “</w:t>
      </w:r>
      <w:r>
        <w:rPr>
          <w:rFonts w:ascii="Times New Roman" w:cs="Times New Roman" w:eastAsia="Times New Roman" w:hAnsi="Times New Roman"/>
          <w:sz w:val="18"/>
          <w:szCs w:val="18"/>
          <w:u w:val="single" w:color="auto"/>
          <w:color w:val="auto"/>
        </w:rPr>
        <w:t>Settlement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and each Plaintiff hereby agree as follows:</w:t>
      </w:r>
    </w:p>
    <w:p>
      <w:pPr>
        <w:spacing w:after="0" w:line="225" w:lineRule="exact"/>
        <w:rPr>
          <w:sz w:val="20"/>
          <w:szCs w:val="20"/>
          <w:color w:val="auto"/>
        </w:rPr>
      </w:pPr>
    </w:p>
    <w:p>
      <w:pPr>
        <w:ind w:firstLine="8"/>
        <w:spacing w:after="0" w:line="282" w:lineRule="auto"/>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that are defined in the Settlement Agreement shall have the meanings given such terms in the Settlement Agreement. As used in this Agreement, the following terms shall have the following meanings: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Advice</w:t>
      </w:r>
      <w:r>
        <w:rPr>
          <w:rFonts w:ascii="Times New Roman" w:cs="Times New Roman" w:eastAsia="Times New Roman" w:hAnsi="Times New Roman"/>
          <w:sz w:val="18"/>
          <w:szCs w:val="18"/>
          <w:color w:val="auto"/>
        </w:rPr>
        <w:t>” shall have the meaning set forth in Section 6(b).</w:t>
      </w:r>
    </w:p>
    <w:p>
      <w:pPr>
        <w:spacing w:after="0" w:line="229"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Date</w:t>
      </w:r>
      <w:r>
        <w:rPr>
          <w:rFonts w:ascii="Times New Roman" w:cs="Times New Roman" w:eastAsia="Times New Roman" w:hAnsi="Times New Roman"/>
          <w:sz w:val="18"/>
          <w:szCs w:val="18"/>
          <w:color w:val="auto"/>
        </w:rPr>
        <w:t>” means, with respect to the Registration Statement required to be filed hereunder, the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following the date hereof (or, in the event of a “full review” by the Commission,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if such Effectiveness Date falls on a day that is not a Trading Day, then the Effectiveness Date shall be the next succeeding Trading Day.</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shall have the meaning set forth in Section 2(a).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Filing Date</w:t>
      </w:r>
      <w:r>
        <w:rPr>
          <w:rFonts w:ascii="Times New Roman" w:cs="Times New Roman" w:eastAsia="Times New Roman" w:hAnsi="Times New Roman"/>
          <w:sz w:val="18"/>
          <w:szCs w:val="18"/>
          <w:color w:val="auto"/>
        </w:rPr>
        <w:t>” means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following the date hereof.</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means the holder or holders, as the case may be, from time to time of Registrable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shall have the meaning set forth in Section 5(c).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shall have the meaning set forth in Section 5(c).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shall have the meaning set forth in Section 5(a).</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prospectus included in a Registration Statement (including, without limitation, a prospectus that 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 w:name="page17"/>
    <w:bookmarkEnd w:id="1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xml:space="preserve">” means, as of any date of determination, (a) all shares issued as the Stock Settlement Portion and (b) any securities issued or then issuable upon any stock split, dividend or other distribution, recapitalization or similar event with respect to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Registrable Securities shall cease to be Registrable Securities (and the Company shall not be required to maintain the effectiveness of any, or file another, Registration Statement hereunder with respect thereto) for so long as (a) a Registration Statement with respect to the sale of such Registrable Securities is declared effective by the Commission under the Securities Act and such Registrable Securities have been disposed of by the Holder in accordance with such effective Registration Statement, (b) such Registrable Securities have been previously sold in accordance with Rule 144, or (c) such securities become eligible for resale without volume or manner-of-sale restrictions and without current public information pursuant to Rule 144 as set forth in a written opinion letter to such effect, addressed, delivered and acceptable to the Transfer Agent and the affected Holders (assuming that such securities and any securities issuable upon exercise, conversion or exchange of which, or as a dividend upon which, such securities were issued or are issuable, were at no time held by any Affiliate of the Company, as reasonably determined by the Company, upon the advice of counsel to the Company.</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any registration statement required to be filed hereunder pursuant to Section 2(a), including the Prospectus, amendments and supplements to any such registration statement or Prospectus, including pre- and post-effective amendments, all exhibits thereto, and all material incorporated by reference or deemed to be incorporated by reference in any such registration statement.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means Rule 415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Stockholder Questionnaire</w:t>
      </w:r>
      <w:r>
        <w:rPr>
          <w:rFonts w:ascii="Times New Roman" w:cs="Times New Roman" w:eastAsia="Times New Roman" w:hAnsi="Times New Roman"/>
          <w:sz w:val="18"/>
          <w:szCs w:val="18"/>
          <w:color w:val="auto"/>
        </w:rPr>
        <w:t>” shall have the meaning set forth in Section 3(a).</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Guidance</w:t>
      </w:r>
      <w:r>
        <w:rPr>
          <w:rFonts w:ascii="Times New Roman" w:cs="Times New Roman" w:eastAsia="Times New Roman" w:hAnsi="Times New Roman"/>
          <w:sz w:val="18"/>
          <w:szCs w:val="18"/>
          <w:color w:val="auto"/>
        </w:rPr>
        <w:t>” means (i) any publicly-available written or oral guidance of the Commission staff, or any comments, requirements or requests of the Commission staff and (ii) the Securities Act.</w:t>
      </w:r>
    </w:p>
    <w:p>
      <w:pPr>
        <w:spacing w:after="0" w:line="162" w:lineRule="exact"/>
        <w:rPr>
          <w:sz w:val="20"/>
          <w:szCs w:val="20"/>
          <w:color w:val="auto"/>
        </w:rPr>
      </w:pPr>
    </w:p>
    <w:p>
      <w:pPr>
        <w:ind w:left="180" w:hanging="172"/>
        <w:spacing w:after="0"/>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52" w:lineRule="auto"/>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Filing Date, the Company shall prepare and file with the Commission a Registration Statement covering the resale of all of the Registrable Securities that are not then registered on an effective Registration Statement for an offering to be made on a continuous basis pursuant to Rule 415. The Registration Statement filed hereunder shall be on Form S-3 or Form S-1 and shall contain (unless otherwise directed by at least a majority in interest of the Holders) substantially the “</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and substantially the “Selling Stockholder” section attached hereto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Holder shall be required to be named as an “underwriter” without such Holder’s express prior written consent. Subject to the terms of this Agreement, the Company shall use its reasonable best efforts to cause a Registration Statement filed under this Agreement to be declared effective under the Securities Act as promptly as possible after the filing thereof, but in any event no later than the applicable Effectiveness Date, and shall use its reasonable best efforts to keep such Registration Statement continuously effective under the Securities Act until the date that all Registrable Securities covered by such Registration Statement (i) have been sold, thereunder or pursuant to Rule 144, or (ii) may be sold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and acceptable to the Transfer Agent and the affected Holders (the “</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The Company shall telephonically request effectiveness of a Registration Statement as of 5:00 p.m. (New York City time) on a Trading Day. The Company shall promptly notify the Holders via e-mail of the effectiveness of a Registration Statement on the same Trading Day that the Company telephonically confirms effectiveness with the Commission, which shall be the date requested for effectiveness of such Registration Statement. The Company shall, by 9:30 a.m. (New York City time) on the Trading Day after the effective date of such Registration Statement, file a final Prospectus with the Commission as required by Rule 424. Failure to so notify the Holder within one (1) Trading Day of such notification of effectiveness or failure to file a final Prospectus as aforesaid shall be deemed an Event under Section 2(c).</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jc w:val="both"/>
        <w:ind w:firstLine="656"/>
        <w:spacing w:after="0" w:line="255" w:lineRule="auto"/>
        <w:tabs>
          <w:tab w:leader="none" w:pos="9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registration obligations set forth in Section 2(a), if the Commission informs the Company that all of the Registrable Securities cannot, as a result of the application of Rule 415, be registered for resale as a secondary offering on a single registration statement, the Company agrees to promptly inform each of the Holders thereof and use its reasonable best efforts to file amendments to the Registration Statement as required by the Commission, covering the maximum number of Registrable Securities permitted to be registered by the Commission, on Form S-3 or Form S-1 or such other form available to register for resale the Registrable Securities as a secondary offering;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prior to filing such amendment, the Company shall be obligated to use diligent efforts to advocate with the Commission for the registration of all of the Registrable Securities in accordance with the SEC Guidance, including without limitation, Compliance and Disclosure Interpretation 612.09.</w:t>
      </w:r>
    </w:p>
    <w:p>
      <w:pPr>
        <w:spacing w:after="0" w:line="188" w:lineRule="exact"/>
        <w:rPr>
          <w:rFonts w:ascii="Times New Roman" w:cs="Times New Roman" w:eastAsia="Times New Roman" w:hAnsi="Times New Roman"/>
          <w:sz w:val="18"/>
          <w:szCs w:val="18"/>
          <w:color w:val="auto"/>
        </w:rPr>
      </w:pPr>
    </w:p>
    <w:p>
      <w:pPr>
        <w:jc w:val="both"/>
        <w:ind w:firstLine="656"/>
        <w:spacing w:after="0" w:line="251" w:lineRule="auto"/>
        <w:tabs>
          <w:tab w:leader="none" w:pos="90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 Registration Statement is not filed on or prior to the Filing Date (if the Company files the Registration Statement without affording the Holders the opportunity to review and comment on the same as required by Section 3(a) herein, the Company shall be deemed to have not satisfied this clause (i)), or (ii) the Company fails to file with the Commission a request for acceleration of a Registration Statement in accordance with Rule 461 promulgated by the Commission pursuant to the Securities Act, within five (5) Trading Days of the date that the Company is notified (orally or in writing, whichever is earlier) by the Commission that such Registration Statement will not be “reviewed” or will not be subject to further review, or (iii) prior to the effective date of a Registration Statement, the Company fails to file a pre-effective amendment and otherwise respond in writing to comments made by the Commission in respect of such Registration Statement within fifteen (15) calendar days after the receipt of comments by or notice from the Commission that such amendment is required in order for such Registration Statement to be declared effective, or (iv) a Registration Statement registering for resale all of the Registrable Securities is not declared effective by the Commission by the Effectiveness Date of the Registration Statement, or (v) after the effective date of a Registration Statement, such Registration Statement ceases for any reason to remain continuously effective as to all Registrable Securities included in such Registration Statement, or the Holders are otherwise not permitted to utilize the Prospectus therein to resell such Registrable Securities, for more than twenty (20) consecutive calendar days or more than an aggregate of thirty (30) calendar days (which need not be consecutive calendar days) during any 12-month period (any such failure or breach being referred to as an “</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and for purposes of clauses (i) and (iv), the date on which such Event occurs, and for purpose of clause (ii) the date on which such five (5) Trading Day period is exceeded, and for purpose of clause (iii) the date which such fifteen (15) calendar day period is exceeded, and for purpose of clause (v) the date on which such twenty (20) or thirty (30) calendar day period, as applicable, is exceeded being referred to as “</w:t>
      </w:r>
      <w:r>
        <w:rPr>
          <w:rFonts w:ascii="Times New Roman" w:cs="Times New Roman" w:eastAsia="Times New Roman" w:hAnsi="Times New Roman"/>
          <w:sz w:val="18"/>
          <w:szCs w:val="18"/>
          <w:u w:val="single" w:color="auto"/>
          <w:color w:val="auto"/>
        </w:rPr>
        <w:t>Event Date</w:t>
      </w:r>
      <w:r>
        <w:rPr>
          <w:rFonts w:ascii="Times New Roman" w:cs="Times New Roman" w:eastAsia="Times New Roman" w:hAnsi="Times New Roman"/>
          <w:sz w:val="18"/>
          <w:szCs w:val="18"/>
          <w:color w:val="auto"/>
        </w:rPr>
        <w:t>”), then, in addition to any other rights the Holders may have hereunder or under applicable law, on each such Event Date and on each monthly anniversary of each such Event Date (if the applicable Event shall not have been cured by such date) until the applicable Event is cured, the Company shall pay to each Holder an amount in cash, as partial liquidated damages and not as a penalty, equal to the product of 1.0% multiplied by the aggregate value of such Holder’s pro-rata Stock Settlement Portion of the Total Settlement Amount attributable to such Holder pursuant to the Settlement Agreement. If the Company fails to pay any partial liquidated damages pursuant to this Section in full within seven (7) days after the date payable, the Company will pay interest thereon at a rate of 12% per annum (or such lesser maximum amount that is permitted to be paid by applicable law) to the Holder, accruing daily from the date such partial liquidated damages are due until such amounts, plus all such interest thereon, are paid in full. The partial liquidated damages pursuant to the terms hereof shall apply on a daily pro rata basis for any portion of a month prior to the cure of an Event.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ind w:firstLine="656"/>
        <w:spacing w:after="0" w:line="282" w:lineRule="auto"/>
        <w:tabs>
          <w:tab w:leader="none" w:pos="91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in no event shall the Company be permitted to name any Holder or affiliate of a Holder as any Underwriter without the prior written consent of such Holder.</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Procedures</w:t>
      </w:r>
      <w:r>
        <w:rPr>
          <w:rFonts w:ascii="Times New Roman" w:cs="Times New Roman" w:eastAsia="Times New Roman" w:hAnsi="Times New Roman"/>
          <w:sz w:val="18"/>
          <w:szCs w:val="18"/>
          <w:color w:val="auto"/>
        </w:rPr>
        <w:t>. In connection with the Company’s registration obligations hereunder, the Company shall:</w:t>
      </w:r>
    </w:p>
    <w:p>
      <w:pPr>
        <w:spacing w:after="0" w:line="225" w:lineRule="exact"/>
        <w:rPr>
          <w:rFonts w:ascii="Times New Roman" w:cs="Times New Roman" w:eastAsia="Times New Roman" w:hAnsi="Times New Roman"/>
          <w:sz w:val="18"/>
          <w:szCs w:val="18"/>
          <w:color w:val="auto"/>
        </w:rPr>
      </w:pPr>
    </w:p>
    <w:p>
      <w:pPr>
        <w:jc w:val="both"/>
        <w:ind w:firstLine="656"/>
        <w:spacing w:after="0" w:line="255" w:lineRule="auto"/>
        <w:tabs>
          <w:tab w:leader="none" w:pos="89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less than three (3) Trading Days prior to the filing of each Registration Statement and not less than one (1) Trading Day prior to the filing of any related Prospectus or any amendment or supplement thereto (including any document that would be incorporated or deemed to be incorporated therein by reference), the Company shall (i) furnish to each Holder copies of all such documents proposed to be filed, which documents (other than those incorporated or deemed to be incorporated by reference) will be subject to the review of such Holders, and (ii) cause its officers and directors, counsel and independent registered public accountants to respond to such inquiries as shall be necessary, in the reasonable opinion of respective counsel to each Holder, to conduct a reasonable investigation within the meaning of the Securities Act. Each Holder agrees to furnish to the Company a completed questionnaire in customary form (a “</w:t>
      </w:r>
      <w:r>
        <w:rPr>
          <w:rFonts w:ascii="Times New Roman" w:cs="Times New Roman" w:eastAsia="Times New Roman" w:hAnsi="Times New Roman"/>
          <w:sz w:val="18"/>
          <w:szCs w:val="18"/>
          <w:u w:val="single" w:color="auto"/>
          <w:color w:val="auto"/>
        </w:rPr>
        <w:t>Selling Stockholder Questionnaire</w:t>
      </w:r>
      <w:r>
        <w:rPr>
          <w:rFonts w:ascii="Times New Roman" w:cs="Times New Roman" w:eastAsia="Times New Roman" w:hAnsi="Times New Roman"/>
          <w:sz w:val="18"/>
          <w:szCs w:val="18"/>
          <w:color w:val="auto"/>
        </w:rPr>
        <w:t>”) on a date that is not less than one (1) Trading Day prior to the Filing Date.</w:t>
      </w:r>
    </w:p>
    <w:p>
      <w:pPr>
        <w:spacing w:after="0" w:line="188" w:lineRule="exact"/>
        <w:rPr>
          <w:rFonts w:ascii="Times New Roman" w:cs="Times New Roman" w:eastAsia="Times New Roman" w:hAnsi="Times New Roman"/>
          <w:sz w:val="18"/>
          <w:szCs w:val="18"/>
          <w:color w:val="auto"/>
        </w:rPr>
      </w:pPr>
    </w:p>
    <w:p>
      <w:pPr>
        <w:jc w:val="both"/>
        <w:ind w:firstLine="656"/>
        <w:spacing w:after="0" w:line="253" w:lineRule="auto"/>
        <w:tabs>
          <w:tab w:leader="none" w:pos="94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Prepare and file with the Commission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 (iii) respond as promptly as reasonably possible to any comments received from the Commission with respect to a Registration Statement or any amendment thereto and provide as promptly as reasonably possible to the Holders true and complete copies of all correspondence from and to the Commission relating to a Registration Statement (provided that, the Company shall excise any information contained therein which would constitute material non-public information regarding the Company or any of its Subsidiaries), and (iv) comply in all material respects with the applicable provisions of the Securities Act and the Exchange Act with respect to the disposition of all Registrable Securities covered by a Registration Statement during the applicable period in accordance (subject to the terms of this Agreement) with the intended methods of disposition by the Holders thereof set forth in such Registration Statement as so amended or in such Prospectus as so supplemented.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jc w:val="both"/>
        <w:ind w:firstLine="656"/>
        <w:spacing w:after="0" w:line="252" w:lineRule="auto"/>
        <w:tabs>
          <w:tab w:leader="none" w:pos="89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Notify the Holders of Registrable Securities to be sold (which notice shall, pursuant to clauses (iii) through (vi) hereof, be accompanied by an instruction to suspend the use of the Prospectus until the requisite changes have been made) as promptly as reasonably possible (and, in the case of (i)(A) below, not less than one (1) Trading Day prior to such filing) and (if requested by any such Person) confirm such notice in writing no later than one (1) Trading Day following the day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such Registration Statement, and (C) with respect to a Registration Statement or any post-effective amendment, when the same has become effective, (ii) of any request by the Commission or any other federal or state governmental authority for amendments or supplements to a Registration Statement or Prospectus or for additional information, (iii) of the issuance by the Commission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and (vi) of the occurrence or existence of any pending corporate development with respect to the Company that the Company believes may be material and that, in the determination of the Company, makes it not in the best interest of the Company to allow continued availability of a Registration Statement or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such notice contain any information which would constitute material, non-public information regarding the Company or any of its Subsidiaries, and the Company agrees that the Holders shall not have any duty of confidentiality to the Company or any of its Subsidiaries and shall not have any duty to the Company or any of its Subsidiaries not to trade on the basis of such information.</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93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best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9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each Holder, without charge, at least one conformed copy of each such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Commission, provided that any such item which is available on the EDGAR system (or successor thereto) need not be furnished in physical form.</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both"/>
        <w:ind w:firstLine="656"/>
        <w:spacing w:after="0" w:line="266" w:lineRule="auto"/>
        <w:tabs>
          <w:tab w:leader="none" w:pos="87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the Company hereby consents to the use of such Prospectus and each amendment or supplement thereto by each of the selling Holders in connection with the offering and sale of the Registrable Securities covered by such Prospectus and any amendment or supplement thereto, except after the giving of any notice pursuant to Section 3(c).</w:t>
      </w:r>
    </w:p>
    <w:p>
      <w:pPr>
        <w:spacing w:after="0" w:line="175" w:lineRule="exact"/>
        <w:rPr>
          <w:rFonts w:ascii="Times New Roman" w:cs="Times New Roman" w:eastAsia="Times New Roman" w:hAnsi="Times New Roman"/>
          <w:sz w:val="18"/>
          <w:szCs w:val="18"/>
          <w:color w:val="auto"/>
        </w:rPr>
      </w:pPr>
    </w:p>
    <w:p>
      <w:pPr>
        <w:jc w:val="both"/>
        <w:ind w:firstLine="656"/>
        <w:spacing w:after="0" w:line="255" w:lineRule="auto"/>
        <w:tabs>
          <w:tab w:leader="none" w:pos="91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resale of Registrable Securities by a Holder, use its commercially reasonable efforts to register or qualify or cooperate with 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9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a Holder, cooperate with such Holder to facilitate the timely preparation and delivery of certificates representing Registrable Securities to be delivered to a transferee pursuant to a Registration Statement, which certificates shall be free, to the extent permitted by the Settlement Agreement, of all restrictive legends, and to enable such Registrable Securities to be in such denominations and registered in such names as any such Holder may request.</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89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any event contemplated by Section 3(c), as promptly as reasonably possible under the circumstances taking into account the Company’s good faith assessment of any adverse consequences to the Company and its stockholders of the premature disclosure of such event,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a Registration Statement nor such Prospectus will contain an untrue statement of a material fact or omit to state a material fact required to be stated therein or necessary to make the statements therein, in light of the circumstances under which they were made, not misleading. If the Company notifies the Holders in accordance with clauses (iii) through (vi) of Section 3(c) above to suspend the use of any Prospectus until the requisite changes to such Prospectus have been made, then the Holders shall suspend use of such Prospectus. The Company will use its reasonable best efforts to ensure that the use of the Prospectus may be resumed as promptly as is practicable. The Company shall be entitled to exercise its right under this Section 3(i) to suspend the availability of a Registration Statement and Prospectus, subject to the payment of partial liquidated damages otherwise required pursuant to Section 2(c), for a period not to exceed 60 calendar days (which need not be consecutive days) in any 12-month period.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jc w:val="both"/>
        <w:ind w:firstLine="656"/>
        <w:spacing w:after="0" w:line="256" w:lineRule="auto"/>
        <w:tabs>
          <w:tab w:leader="none" w:pos="86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use commercially reasonable efforts to comply with all applicable rules and regulations of the Commission under the Securities Act and the Exchange Act, including, without limitation, Rule 172 under the Securities Act, file any final Prospectus, including any supplement or amendment thereof, with the Commission pursuant to Rule 424 under the Securities Act, promptly inform the Holders in writing if, at any time during the Effectiveness Period, the Company does not satisfy the conditions specified in Rule 172 and, as a result thereof, the Holders are required to deliver a Prospectus in connection with any disposition of Registrable Securities and take such other actions as may be reasonably necessary to facilitate the registration of the Registrable Securities hereunder.</w:t>
      </w:r>
    </w:p>
    <w:p>
      <w:pPr>
        <w:spacing w:after="0" w:line="187" w:lineRule="exact"/>
        <w:rPr>
          <w:rFonts w:ascii="Times New Roman" w:cs="Times New Roman" w:eastAsia="Times New Roman" w:hAnsi="Times New Roman"/>
          <w:sz w:val="18"/>
          <w:szCs w:val="18"/>
          <w:color w:val="auto"/>
        </w:rPr>
      </w:pPr>
    </w:p>
    <w:p>
      <w:pPr>
        <w:jc w:val="both"/>
        <w:ind w:firstLine="656"/>
        <w:spacing w:after="0" w:line="256" w:lineRule="auto"/>
        <w:tabs>
          <w:tab w:leader="none" w:pos="90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require each selling Holder to furnish to the Company a certified statement as to the number of shares of Common Stock beneficially owned by such Holder and, if required by the Commission, the natural persons thereof that have voting and dispositive control over the shares. During any periods that the Company is unable to meet its obligations hereunder with respect to the registration of the Registrable Securities solely because any Holder fails to furnish such information within three Trading Days of the Company’s request, any liquidated damages that are accruing at such time as to such Holder only shall be tolled and any Event that may otherwise occur solely because of such delay shall be suspended as to such Holder only, until such information is delivered to the Company.</w:t>
      </w:r>
    </w:p>
    <w:p>
      <w:pPr>
        <w:spacing w:after="0" w:line="187" w:lineRule="exact"/>
        <w:rPr>
          <w:rFonts w:ascii="Times New Roman" w:cs="Times New Roman" w:eastAsia="Times New Roman" w:hAnsi="Times New Roman"/>
          <w:sz w:val="18"/>
          <w:szCs w:val="18"/>
          <w:color w:val="auto"/>
        </w:rPr>
      </w:pPr>
    </w:p>
    <w:p>
      <w:pPr>
        <w:jc w:val="both"/>
        <w:ind w:firstLine="8"/>
        <w:spacing w:after="0" w:line="252"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All fees and expenses incident to the performance of or compliance with, this Agreement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made with the Commission, (B) with respect to filings required to be made with any Trading Market on which the Common Stock is then listed for trading, and (C) in compliance with applicable state securities or Blue Sky laws reasonably agreed to by the Company in writing (including, without limitation, fees and disbursements of counsel for the Company in connection with Blue Sky qualifications or exemptions of the Registrable Securities), (ii) printing expenses (including, without limitation, expenses of printing certificates for Registrable Securities), (iii) messenger, telephone and delivery expenses, (iv) fees and disbursements of counsel for the Company, (v) Securities Act liability insurance, if the Company so desires such insurance, and (vi) fees and expenses of all other Persons retained by the Company in connection with the consummation of the transactions contemplated by this Agreement.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broker or similar commissions of any Holder or any legal fees or other costs of the Holders.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ind w:left="180" w:hanging="172"/>
        <w:spacing w:after="0"/>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51" w:lineRule="auto"/>
        <w:tabs>
          <w:tab w:leader="none" w:pos="89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The Company shall, notwithstanding any termination of this Agreement, indemnify and hold harmless each Holder, the officers, directors, members, partners, agents, brokers (including brokers who offer and sell Registrable Securities as principal as a result of a pledge or any failure to perform under a margin call of Common Stock), investment advisors and employees (and any other Persons with a functionally equivalent role of a Person holding such titles, notwithstanding a lack of such title or any other title) of each of them, each Person who controls any such Holder (within the meaning of Section 15 of the Securities Act or Section 20 of the Exchange Act) and the officers, directors, members, stockholders, partners, agents and employees (and any other Persons with a functionally equivalent role of a Person holding such titles, notwithstanding a lack of such title or any other title) of each such controlling Person, to the fullest extent permitted by applicable law, from and against any and all losses, claims, damages, liabilities, costs (including, without limitation, reasonable attorneys’ fees) and expenses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as incurred, arising out of or relating to (1) any untrue or alleged untrue statement of a material fact contained in a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of the Securities Act, the Exchange Act or any state securities law, or any rule or regulation thereunder, in connection with the performance of its obligations under this Agreement, except to the extent, but only to the extent, that (i) such untrue statements or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a Registration Statement, such Prospectus or in any amendment or supplement thereto (it being understood that the Holder has approved Annex A hereto for this purpose) or (ii) in the case of an occurrence of an event of the type specified in Section 3(c)(iii)-(vi), the use by such Holder of an outdated, defective or otherwise unavailable Prospectus after the Company has notified such Holder in writing (or otherwise in accordance with the notice provisions in the Settlement Agreement) that the Prospectus is outdated, defective or otherwise unavailable for use by such Holder and prior to the receipt by such Holder of the Advice contemplated in Section 6(b). The Company shall notify the Holders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such indemnified person and shall survive the transfer of any Registrable Securities by any of the Holders in accordance with Section 6(f).</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jc w:val="both"/>
        <w:ind w:firstLine="656"/>
        <w:spacing w:after="0" w:line="252" w:lineRule="auto"/>
        <w:tabs>
          <w:tab w:leader="none" w:pos="91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Holders</w:t>
      </w:r>
      <w:r>
        <w:rPr>
          <w:rFonts w:ascii="Times New Roman" w:cs="Times New Roman" w:eastAsia="Times New Roman" w:hAnsi="Times New Roman"/>
          <w:sz w:val="18"/>
          <w:szCs w:val="18"/>
          <w:color w:val="auto"/>
        </w:rPr>
        <w:t>. Each Holder shall, severally and not jointly,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to the extent arising out of or based solely upon: any untrue or alleged untrue statement of a material fact contained in any Registration Statement, any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(i) to the extent, but only to the extent, that such untrue statement or omission is contained in any information so furnished in writing by such Holder to the Company expressly for inclusion in such Registration Statement or such Prospectus or (ii) to the extent, but only to the extent, that such information relates to such Holder’s information provided in the Selling Stockholder Questionnaire or the proposed method of distribution of Registrable Securities and was reviewed and expressly approved in writing by such Holder expressly for use in a Registration Statement (it being understood that the Holder has approved Annex A hereto for this purpose), such Prospectus or in any amendment or supplement thereto. In no event shall the liability of a selling Holder be greater in amount than the dollar amount of the proceeds (net of all expenses paid by such Holder in connection with any claim relating to this Section 5 and the amount of any damages such Holder has otherwise been required to pay by reason of such untrue statement or omission) received by such Holder upon the sale of the Registrable Securities included in the Registration Statement giving rise to such indemnification obligation.</w:t>
      </w:r>
    </w:p>
    <w:p>
      <w:pPr>
        <w:spacing w:after="0" w:line="195" w:lineRule="exact"/>
        <w:rPr>
          <w:rFonts w:ascii="Times New Roman" w:cs="Times New Roman" w:eastAsia="Times New Roman" w:hAnsi="Times New Roman"/>
          <w:sz w:val="18"/>
          <w:szCs w:val="18"/>
          <w:color w:val="auto"/>
        </w:rPr>
      </w:pPr>
    </w:p>
    <w:p>
      <w:pPr>
        <w:jc w:val="both"/>
        <w:ind w:firstLine="656"/>
        <w:spacing w:after="0" w:line="255" w:lineRule="auto"/>
        <w:tabs>
          <w:tab w:leader="none" w:pos="89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Indemnification Proceedings</w:t>
      </w:r>
      <w:r>
        <w:rPr>
          <w:rFonts w:ascii="Times New Roman" w:cs="Times New Roman" w:eastAsia="Times New Roman" w:hAnsi="Times New Roman"/>
          <w:sz w:val="18"/>
          <w:szCs w:val="18"/>
          <w:color w:val="auto"/>
        </w:rPr>
        <w:t>. If any Proceeding shall be brought or asserted against any Person entitled to indemnity hereunder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such Indemnified Party shall promptly notify the Person from whom indemnity is sought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in writing, and the Indemnifying Party shall have the right to assume the defense thereof, including the employment of counsel reasonably satisfactory to the Indemnified Party and the payment of all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shall be at the expense of the Indemnifying Party). The Indemnifying Party shall not be liable for any settlement of any such Proceeding effected without its written consent, which consent shall not be unreasonably withheld or delayed.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Subject to the terms of this Agreement, all reasonable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ten Trading Days of written notice thereof to the Indemnifying Party, provided that the Indemnified Party shall promptly reimburse the Indemnifying Party for that portion of such fees and expenses applicable to such actions for which such Indemnified Party is finally determined by a court of competent jurisdiction (which determination is not subject to appeal or further review) not to be entitled to indemnification hereunder.</w:t>
      </w:r>
    </w:p>
    <w:p>
      <w:pPr>
        <w:spacing w:after="0" w:line="187" w:lineRule="exact"/>
        <w:rPr>
          <w:sz w:val="20"/>
          <w:szCs w:val="20"/>
          <w:color w:val="auto"/>
        </w:rPr>
      </w:pPr>
    </w:p>
    <w:p>
      <w:pPr>
        <w:jc w:val="both"/>
        <w:ind w:firstLine="656"/>
        <w:spacing w:after="0" w:line="253" w:lineRule="auto"/>
        <w:tabs>
          <w:tab w:leader="none" w:pos="91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the indemnification under Section 5(a) or 5(b) is unavailable to an Indemnified Party or insufficient to hold an Indemnified 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spacing w:after="0" w:line="194"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The parties hereto agree that it would not be just and equitable if contribution pursuant to this Section 5(d) were determined by pro rata allocation or by any other method of allocation that does not take into account the equitable considerations referred to in the immediately preceding paragraph. In no event shall the contribution obligation of a Holder of Registrable Securities be greater in amount than the dollar amount of the proceeds (net of all expenses paid by such Holder in connection with any claim relating to this Section 5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The indemnity and contribution agreements contained in this Section are in addition to any liability that the Indemnifying Parties may have to the Indemnified Parties.</w:t>
      </w:r>
    </w:p>
    <w:p>
      <w:pPr>
        <w:spacing w:after="0" w:line="162" w:lineRule="exact"/>
        <w:rPr>
          <w:sz w:val="20"/>
          <w:szCs w:val="20"/>
          <w:color w:val="auto"/>
        </w:rPr>
      </w:pPr>
    </w:p>
    <w:p>
      <w:pPr>
        <w:ind w:left="180" w:hanging="172"/>
        <w:spacing w:after="0"/>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56" w:lineRule="auto"/>
        <w:tabs>
          <w:tab w:leader="none" w:pos="89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Each of the Company and each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jc w:val="both"/>
        <w:ind w:left="-20" w:firstLine="656"/>
        <w:spacing w:after="0" w:line="256" w:lineRule="auto"/>
        <w:tabs>
          <w:tab w:leader="none" w:pos="88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Discontinued Disposition</w:t>
      </w:r>
      <w:r>
        <w:rPr>
          <w:rFonts w:ascii="Times New Roman" w:cs="Times New Roman" w:eastAsia="Times New Roman" w:hAnsi="Times New Roman"/>
          <w:sz w:val="18"/>
          <w:szCs w:val="18"/>
          <w:color w:val="auto"/>
        </w:rPr>
        <w:t>. By its acquisition of Registrable Securities, each Holder agrees that, upon receipt of a notice from the Company of the occurrence of any event of the kind described in Section 3(c)(iii) through (vi), such Holder will forthwith discontinue disposition of such Registrable Securities under a Registration Statement until it is advised in writing (the “</w:t>
      </w:r>
      <w:r>
        <w:rPr>
          <w:rFonts w:ascii="Times New Roman" w:cs="Times New Roman" w:eastAsia="Times New Roman" w:hAnsi="Times New Roman"/>
          <w:sz w:val="18"/>
          <w:szCs w:val="18"/>
          <w:u w:val="single" w:color="auto"/>
          <w:color w:val="auto"/>
        </w:rPr>
        <w:t>Advice</w:t>
      </w:r>
      <w:r>
        <w:rPr>
          <w:rFonts w:ascii="Times New Roman" w:cs="Times New Roman" w:eastAsia="Times New Roman" w:hAnsi="Times New Roman"/>
          <w:sz w:val="18"/>
          <w:szCs w:val="18"/>
          <w:color w:val="auto"/>
        </w:rPr>
        <w:t>”) by the Company that the use of the applicable Prospectus (as it may have been supplemented or amended) may be resumed. The Company will use its best efforts to ensure that the use of the Prospectus may be resumed as promptly as is practicable. The Company agrees and acknowledges that any periods during which the Holder is required to discontinue the disposition of the Registrable Securities hereunder shall be subject to the provisions of Section 2(c)</w:t>
      </w:r>
    </w:p>
    <w:p>
      <w:pPr>
        <w:spacing w:after="0" w:line="187" w:lineRule="exact"/>
        <w:rPr>
          <w:rFonts w:ascii="Times New Roman" w:cs="Times New Roman" w:eastAsia="Times New Roman" w:hAnsi="Times New Roman"/>
          <w:sz w:val="18"/>
          <w:szCs w:val="18"/>
          <w:color w:val="auto"/>
        </w:rPr>
      </w:pPr>
    </w:p>
    <w:p>
      <w:pPr>
        <w:jc w:val="both"/>
        <w:ind w:left="-20" w:firstLine="656"/>
        <w:spacing w:after="0" w:line="253" w:lineRule="auto"/>
        <w:tabs>
          <w:tab w:leader="none" w:pos="88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The provisions of this Agreement, including the provisions of this sentence, may not be amended, modified or supplemented, and waivers or consents to departures from the provisions hereof may not be given, unless the same shall be in writing and signed by the Company and the Holders of 50.1% or more of the then outstanding Registrable Securities, provided that, if any amendment, modification or waiver by its terms disproportionately and adversely impacts a Holder (or group of Holders), the consent of such disproportionately impacted Holder (or group of Holders) shall be required. If a Registration Statement does not register all of the Registrable Securities pursuant to a waiver or amendment done in compliance with the previous sentence, then the number of Registrable Securities to be registered for each Holder shall be reduced pro rata among all Holders and each Holder shall have the right to designate which of its Registrable Securities shall be omitted from such Registration Statement. Notwithstanding the foregoing, a waiver or consent to depart from the provisions hereof with respect to a matter that relates by its terms exclusively to the rights of a Holder or some Holders and that does not directly or indirectly affect the rights of other Holders may be given only by such Holder or Holders of all of the Registrable Securities to which such waiver or consent relates;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provisions of this sentence may not be amended, modified, or supplemented except in accordance with the provisions of the first sentence of this Section 6(c). No consideration shall be offered or paid to any Person to amend or consent to a waiver or modification of any provision of this Agreement unless the same consideration also is offered to all of the parties to this Agreement.</w:t>
      </w:r>
    </w:p>
    <w:p>
      <w:pPr>
        <w:spacing w:after="0" w:line="187" w:lineRule="exact"/>
        <w:rPr>
          <w:rFonts w:ascii="Times New Roman" w:cs="Times New Roman" w:eastAsia="Times New Roman" w:hAnsi="Times New Roman"/>
          <w:sz w:val="18"/>
          <w:szCs w:val="18"/>
          <w:color w:val="auto"/>
        </w:rPr>
      </w:pPr>
    </w:p>
    <w:p>
      <w:pPr>
        <w:ind w:left="-20" w:right="20" w:firstLine="656"/>
        <w:spacing w:after="0" w:line="282" w:lineRule="auto"/>
        <w:tabs>
          <w:tab w:leader="none" w:pos="89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delivered as set forth in the Settlement Agreement.</w:t>
      </w:r>
    </w:p>
    <w:p>
      <w:pPr>
        <w:spacing w:after="0" w:line="161" w:lineRule="exact"/>
        <w:rPr>
          <w:rFonts w:ascii="Times New Roman" w:cs="Times New Roman" w:eastAsia="Times New Roman" w:hAnsi="Times New Roman"/>
          <w:sz w:val="18"/>
          <w:szCs w:val="18"/>
          <w:color w:val="auto"/>
        </w:rPr>
      </w:pPr>
    </w:p>
    <w:p>
      <w:pPr>
        <w:jc w:val="both"/>
        <w:ind w:left="-20" w:firstLine="656"/>
        <w:spacing w:after="0" w:line="266" w:lineRule="auto"/>
        <w:tabs>
          <w:tab w:leader="none" w:pos="87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inure to the benefit of and be binding upon the successors and permitted assigns of each of the parties and shall inure to the benefit of each Holder. The Company may not assign (except by merger) its rights or obligations hereunder without the prior written consent of 50.1% or more of the Holders of the then outstanding Registrable Securities.</w:t>
      </w:r>
    </w:p>
    <w:p>
      <w:pPr>
        <w:spacing w:after="0" w:line="175" w:lineRule="exact"/>
        <w:rPr>
          <w:rFonts w:ascii="Times New Roman" w:cs="Times New Roman" w:eastAsia="Times New Roman" w:hAnsi="Times New Roman"/>
          <w:sz w:val="18"/>
          <w:szCs w:val="18"/>
          <w:color w:val="auto"/>
        </w:rPr>
      </w:pPr>
    </w:p>
    <w:p>
      <w:pPr>
        <w:jc w:val="both"/>
        <w:ind w:left="-20" w:firstLine="656"/>
        <w:spacing w:after="0" w:line="266" w:lineRule="auto"/>
        <w:tabs>
          <w:tab w:leader="none" w:pos="85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Inconsistent Agreements</w:t>
      </w:r>
      <w:r>
        <w:rPr>
          <w:rFonts w:ascii="Times New Roman" w:cs="Times New Roman" w:eastAsia="Times New Roman" w:hAnsi="Times New Roman"/>
          <w:sz w:val="18"/>
          <w:szCs w:val="18"/>
          <w:color w:val="auto"/>
        </w:rPr>
        <w:t>. The Company has not entered, as of the date hereof, and shall not enter, on or after the date of this Agreement, into any agreement with respect to its securities that would have the effect of impairing the rights granted to the Holders in this Agreement or otherwise conflicts with the provisions hereof.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688" w:right="339" w:bottom="1440" w:gutter="0" w:footer="0" w:header="0"/>
        </w:sectPr>
      </w:pPr>
    </w:p>
    <w:bookmarkStart w:id="26" w:name="page27"/>
    <w:bookmarkEnd w:id="26"/>
    <w:p>
      <w:pPr>
        <w:jc w:val="both"/>
        <w:ind w:firstLine="656"/>
        <w:spacing w:after="0" w:line="256" w:lineRule="auto"/>
        <w:tabs>
          <w:tab w:leader="none" w:pos="93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and Counterparts</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e-mail delivery of a “.pdf” format data file or any electronic signature complying with the U.S. federal ESIGN Act of 2000 (e.g., www.docusign.com), such signature shall create a valid and binding obligation of the party executing (or on whose behalf such signature is executed) with the same force and effect as if such “.pdf” signature page were an original thereof.</w:t>
      </w:r>
    </w:p>
    <w:p>
      <w:pPr>
        <w:spacing w:after="0" w:line="187" w:lineRule="exact"/>
        <w:rPr>
          <w:rFonts w:ascii="Times New Roman" w:cs="Times New Roman" w:eastAsia="Times New Roman" w:hAnsi="Times New Roman"/>
          <w:sz w:val="18"/>
          <w:szCs w:val="18"/>
          <w:color w:val="auto"/>
        </w:rPr>
      </w:pPr>
    </w:p>
    <w:p>
      <w:pPr>
        <w:ind w:right="20" w:firstLine="656"/>
        <w:spacing w:after="0" w:line="282" w:lineRule="auto"/>
        <w:tabs>
          <w:tab w:leader="none" w:pos="9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this Agreement shall be determined in accordance with the provisions of the Settlement Agreement.</w:t>
      </w:r>
    </w:p>
    <w:p>
      <w:pPr>
        <w:spacing w:after="0" w:line="161"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Cumulative Remedies</w:t>
      </w:r>
      <w:r>
        <w:rPr>
          <w:rFonts w:ascii="Times New Roman" w:cs="Times New Roman" w:eastAsia="Times New Roman" w:hAnsi="Times New Roman"/>
          <w:sz w:val="18"/>
          <w:szCs w:val="18"/>
          <w:color w:val="auto"/>
        </w:rPr>
        <w:t>. The remedies provided herein are cumulative and not exclusive of any other remedies provided by law.</w:t>
      </w:r>
    </w:p>
    <w:p>
      <w:pPr>
        <w:spacing w:after="0" w:line="225" w:lineRule="exact"/>
        <w:rPr>
          <w:rFonts w:ascii="Times New Roman" w:cs="Times New Roman" w:eastAsia="Times New Roman" w:hAnsi="Times New Roman"/>
          <w:sz w:val="18"/>
          <w:szCs w:val="18"/>
          <w:color w:val="auto"/>
        </w:rPr>
      </w:pPr>
    </w:p>
    <w:p>
      <w:pPr>
        <w:jc w:val="both"/>
        <w:ind w:firstLine="656"/>
        <w:spacing w:after="0" w:line="256" w:lineRule="auto"/>
        <w:tabs>
          <w:tab w:leader="none" w:pos="86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are for convenience only, do not constitute a part of the Agreement and shall not be deemed to limit or affect any of the provisions hereof.</w:t>
      </w:r>
    </w:p>
    <w:p>
      <w:pPr>
        <w:spacing w:after="0" w:line="161" w:lineRule="exact"/>
        <w:rPr>
          <w:rFonts w:ascii="Times New Roman" w:cs="Times New Roman" w:eastAsia="Times New Roman" w:hAnsi="Times New Roman"/>
          <w:sz w:val="18"/>
          <w:szCs w:val="18"/>
          <w:color w:val="auto"/>
        </w:rPr>
      </w:pPr>
    </w:p>
    <w:p>
      <w:pPr>
        <w:jc w:val="both"/>
        <w:ind w:firstLine="656"/>
        <w:spacing w:after="0" w:line="253" w:lineRule="auto"/>
        <w:tabs>
          <w:tab w:leader="none" w:pos="86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Nature of Holders’ Obligations and Rights</w:t>
      </w:r>
      <w:r>
        <w:rPr>
          <w:rFonts w:ascii="Times New Roman" w:cs="Times New Roman" w:eastAsia="Times New Roman" w:hAnsi="Times New Roman"/>
          <w:sz w:val="18"/>
          <w:szCs w:val="18"/>
          <w:color w:val="auto"/>
        </w:rPr>
        <w:t>.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the Company acknowledges that the Holders are not acting in concert or as a group, and the Company shall not assert any such claim, with respect to such obligations or transactions. Each Holder shall be entitled to protect and enforce its rights, including without limitation the rights arising out of this Agreement, and it shall not be necessary for any other Holder to be joined as an additional party in any proceeding for such purpose. The use of a single agreement with respect to the obligations of the Company contained was solely in the control of the Company, not the action or decision of any Holder, and was done solely for the convenience of the Company and not because it was required or requested to do so by any Holder. It is expressly understood and agreed that each provision contained in this Agreement is between the Company and a Holder, solely, and not between the Company and the Holders collectively and not between and among Holders.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color w:val="auto"/>
        </w:rPr>
        <w:t>IN WITNESS WHEREOF, the parties have executed this Registration Rights Agreement as of the date first written above.</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3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-127635</wp:posOffset>
            </wp:positionV>
            <wp:extent cx="32061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CEO &amp; President</w:t>
      </w:r>
    </w:p>
    <w:p>
      <w:pPr>
        <w:spacing w:after="0" w:line="20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[SIGNATURE PAGE OF HOLDERS FOLLOWS]</w:t>
      </w:r>
    </w:p>
    <w:p>
      <w:pPr>
        <w:spacing w:after="0" w:line="2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688" w:right="1440" w:bottom="1440" w:gutter="0" w:footer="0" w:header="0"/>
        </w:sectPr>
      </w:pPr>
    </w:p>
    <w:bookmarkStart w:id="28" w:name="page29"/>
    <w:bookmarkEnd w:id="28"/>
    <w:p>
      <w:pPr>
        <w:ind w:right="2499" w:firstLine="3602"/>
        <w:spacing w:after="0" w:line="499" w:lineRule="auto"/>
        <w:rPr>
          <w:sz w:val="20"/>
          <w:szCs w:val="20"/>
          <w:color w:val="auto"/>
        </w:rPr>
      </w:pPr>
      <w:r>
        <w:rPr>
          <w:rFonts w:ascii="Times New Roman" w:cs="Times New Roman" w:eastAsia="Times New Roman" w:hAnsi="Times New Roman"/>
          <w:sz w:val="18"/>
          <w:szCs w:val="18"/>
          <w:color w:val="auto"/>
        </w:rPr>
        <w:t>[SIGNATURE PAGE OF HOLDERS TO MBOT RRA] Name of Holder: EMPERY ASSET MASTER, LTD.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Holder</w:t>
            </w:r>
            <w:r>
              <w:rPr>
                <w:rFonts w:ascii="Times New Roman" w:cs="Times New Roman" w:eastAsia="Times New Roman" w:hAnsi="Times New Roman"/>
                <w:sz w:val="18"/>
                <w:szCs w:val="18"/>
                <w:color w:val="auto"/>
              </w:rPr>
              <w:t>:</w:t>
            </w:r>
          </w:p>
        </w:tc>
        <w:tc>
          <w:tcPr>
            <w:tcW w:w="49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 Brett Director</w:t>
            </w:r>
          </w:p>
        </w:tc>
      </w:tr>
      <w:tr>
        <w:trPr>
          <w:trHeight w:val="432"/>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Name of Authorized Signatory: Brett Director</w:t>
            </w:r>
          </w:p>
        </w:tc>
        <w:tc>
          <w:tcPr>
            <w:tcW w:w="480" w:type="dxa"/>
            <w:vAlign w:val="bottom"/>
          </w:tcPr>
          <w:p>
            <w:pPr>
              <w:spacing w:after="0"/>
              <w:rPr>
                <w:sz w:val="24"/>
                <w:szCs w:val="24"/>
                <w:color w:val="auto"/>
              </w:rPr>
            </w:pPr>
          </w:p>
        </w:tc>
        <w:tc>
          <w:tcPr>
            <w:tcW w:w="4480" w:type="dxa"/>
            <w:vAlign w:val="bottom"/>
            <w:tcBorders>
              <w:top w:val="single" w:sz="8" w:color="auto"/>
            </w:tcBorders>
          </w:tcPr>
          <w:p>
            <w:pPr>
              <w:spacing w:after="0"/>
              <w:rPr>
                <w:sz w:val="24"/>
                <w:szCs w:val="24"/>
                <w:color w:val="auto"/>
              </w:rPr>
            </w:pPr>
          </w:p>
        </w:tc>
      </w:tr>
    </w:tbl>
    <w:p>
      <w:pPr>
        <w:spacing w:after="0" w:line="198" w:lineRule="exact"/>
        <w:rPr>
          <w:sz w:val="20"/>
          <w:szCs w:val="20"/>
          <w:color w:val="auto"/>
        </w:rPr>
      </w:pPr>
    </w:p>
    <w:p>
      <w:pPr>
        <w:ind w:left="4280" w:right="3179" w:hanging="4274"/>
        <w:spacing w:after="0" w:line="530" w:lineRule="auto"/>
        <w:rPr>
          <w:sz w:val="20"/>
          <w:szCs w:val="20"/>
          <w:color w:val="auto"/>
        </w:rPr>
      </w:pPr>
      <w:r>
        <w:rPr>
          <w:rFonts w:ascii="Times New Roman" w:cs="Times New Roman" w:eastAsia="Times New Roman" w:hAnsi="Times New Roman"/>
          <w:sz w:val="17"/>
          <w:szCs w:val="17"/>
          <w:color w:val="auto"/>
        </w:rPr>
        <w:t>Title of Authorized Signatory: General Couunsel of Empery Asset Management, LP [SIGNATURE PAGES CONTINUE]</w:t>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29" w:name="page30"/>
    <w:bookmarkEnd w:id="29"/>
    <w:p>
      <w:pPr>
        <w:ind w:right="2499" w:firstLine="3602"/>
        <w:spacing w:after="0" w:line="499" w:lineRule="auto"/>
        <w:rPr>
          <w:sz w:val="20"/>
          <w:szCs w:val="20"/>
          <w:color w:val="auto"/>
        </w:rPr>
      </w:pPr>
      <w:r>
        <w:rPr>
          <w:rFonts w:ascii="Times New Roman" w:cs="Times New Roman" w:eastAsia="Times New Roman" w:hAnsi="Times New Roman"/>
          <w:sz w:val="18"/>
          <w:szCs w:val="18"/>
          <w:color w:val="auto"/>
        </w:rPr>
        <w:t>[SIGNATURE PAGE OF HOLDERS TO MBOT RRA] Name of Holder: EMPERY TAX EFFICIENT, LP</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Holder</w:t>
            </w:r>
            <w:r>
              <w:rPr>
                <w:rFonts w:ascii="Times New Roman" w:cs="Times New Roman" w:eastAsia="Times New Roman" w:hAnsi="Times New Roman"/>
                <w:sz w:val="18"/>
                <w:szCs w:val="18"/>
                <w:color w:val="auto"/>
              </w:rPr>
              <w:t>:</w:t>
            </w:r>
          </w:p>
        </w:tc>
        <w:tc>
          <w:tcPr>
            <w:tcW w:w="49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 Brett Director</w:t>
            </w:r>
          </w:p>
        </w:tc>
      </w:tr>
      <w:tr>
        <w:trPr>
          <w:trHeight w:val="432"/>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Name of Authorized Signatory: Brett Director</w:t>
            </w:r>
          </w:p>
        </w:tc>
        <w:tc>
          <w:tcPr>
            <w:tcW w:w="480" w:type="dxa"/>
            <w:vAlign w:val="bottom"/>
          </w:tcPr>
          <w:p>
            <w:pPr>
              <w:spacing w:after="0"/>
              <w:rPr>
                <w:sz w:val="24"/>
                <w:szCs w:val="24"/>
                <w:color w:val="auto"/>
              </w:rPr>
            </w:pPr>
          </w:p>
        </w:tc>
        <w:tc>
          <w:tcPr>
            <w:tcW w:w="4480" w:type="dxa"/>
            <w:vAlign w:val="bottom"/>
            <w:tcBorders>
              <w:top w:val="single" w:sz="8" w:color="auto"/>
            </w:tcBorders>
          </w:tcPr>
          <w:p>
            <w:pPr>
              <w:spacing w:after="0"/>
              <w:rPr>
                <w:sz w:val="24"/>
                <w:szCs w:val="24"/>
                <w:color w:val="auto"/>
              </w:rPr>
            </w:pPr>
          </w:p>
        </w:tc>
      </w:tr>
    </w:tbl>
    <w:p>
      <w:pPr>
        <w:spacing w:after="0" w:line="198" w:lineRule="exact"/>
        <w:rPr>
          <w:sz w:val="20"/>
          <w:szCs w:val="20"/>
          <w:color w:val="auto"/>
        </w:rPr>
      </w:pPr>
    </w:p>
    <w:p>
      <w:pPr>
        <w:ind w:left="4280" w:right="3179" w:hanging="4274"/>
        <w:spacing w:after="0" w:line="530" w:lineRule="auto"/>
        <w:rPr>
          <w:sz w:val="20"/>
          <w:szCs w:val="20"/>
          <w:color w:val="auto"/>
        </w:rPr>
      </w:pPr>
      <w:r>
        <w:rPr>
          <w:rFonts w:ascii="Times New Roman" w:cs="Times New Roman" w:eastAsia="Times New Roman" w:hAnsi="Times New Roman"/>
          <w:sz w:val="17"/>
          <w:szCs w:val="17"/>
          <w:color w:val="auto"/>
        </w:rPr>
        <w:t>Title of Authorized Signatory: General Couunsel of Empery Asset Management, LP [SIGNATURE PAGES CONTINUE]</w:t>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30" w:name="page31"/>
    <w:bookmarkEnd w:id="30"/>
    <w:p>
      <w:pPr>
        <w:ind w:right="2499" w:firstLine="3602"/>
        <w:spacing w:after="0" w:line="499" w:lineRule="auto"/>
        <w:rPr>
          <w:sz w:val="20"/>
          <w:szCs w:val="20"/>
          <w:color w:val="auto"/>
        </w:rPr>
      </w:pPr>
      <w:r>
        <w:rPr>
          <w:rFonts w:ascii="Times New Roman" w:cs="Times New Roman" w:eastAsia="Times New Roman" w:hAnsi="Times New Roman"/>
          <w:sz w:val="18"/>
          <w:szCs w:val="18"/>
          <w:color w:val="auto"/>
        </w:rPr>
        <w:t>[SIGNATURE PAGE OF HOLDERS TO MBOT RRA] Name of Holder: EMPERY TAX EFFICIENT III, LP</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Holder</w:t>
            </w:r>
            <w:r>
              <w:rPr>
                <w:rFonts w:ascii="Times New Roman" w:cs="Times New Roman" w:eastAsia="Times New Roman" w:hAnsi="Times New Roman"/>
                <w:sz w:val="18"/>
                <w:szCs w:val="18"/>
                <w:color w:val="auto"/>
              </w:rPr>
              <w:t>:</w:t>
            </w:r>
          </w:p>
        </w:tc>
        <w:tc>
          <w:tcPr>
            <w:tcW w:w="49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 Brett Director</w:t>
            </w:r>
          </w:p>
        </w:tc>
      </w:tr>
      <w:tr>
        <w:trPr>
          <w:trHeight w:val="432"/>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Name of Authorized Signatory: Brett Director</w:t>
            </w:r>
          </w:p>
        </w:tc>
        <w:tc>
          <w:tcPr>
            <w:tcW w:w="480" w:type="dxa"/>
            <w:vAlign w:val="bottom"/>
          </w:tcPr>
          <w:p>
            <w:pPr>
              <w:spacing w:after="0"/>
              <w:rPr>
                <w:sz w:val="24"/>
                <w:szCs w:val="24"/>
                <w:color w:val="auto"/>
              </w:rPr>
            </w:pPr>
          </w:p>
        </w:tc>
        <w:tc>
          <w:tcPr>
            <w:tcW w:w="4480" w:type="dxa"/>
            <w:vAlign w:val="bottom"/>
            <w:tcBorders>
              <w:top w:val="single" w:sz="8" w:color="auto"/>
            </w:tcBorders>
          </w:tcPr>
          <w:p>
            <w:pPr>
              <w:spacing w:after="0"/>
              <w:rPr>
                <w:sz w:val="24"/>
                <w:szCs w:val="24"/>
                <w:color w:val="auto"/>
              </w:rPr>
            </w:pPr>
          </w:p>
        </w:tc>
      </w:tr>
    </w:tbl>
    <w:p>
      <w:pPr>
        <w:spacing w:after="0" w:line="198" w:lineRule="exact"/>
        <w:rPr>
          <w:sz w:val="20"/>
          <w:szCs w:val="20"/>
          <w:color w:val="auto"/>
        </w:rPr>
      </w:pPr>
    </w:p>
    <w:p>
      <w:pPr>
        <w:ind w:left="4280" w:right="3179" w:hanging="4274"/>
        <w:spacing w:after="0" w:line="530" w:lineRule="auto"/>
        <w:rPr>
          <w:sz w:val="20"/>
          <w:szCs w:val="20"/>
          <w:color w:val="auto"/>
        </w:rPr>
      </w:pPr>
      <w:r>
        <w:rPr>
          <w:rFonts w:ascii="Times New Roman" w:cs="Times New Roman" w:eastAsia="Times New Roman" w:hAnsi="Times New Roman"/>
          <w:sz w:val="17"/>
          <w:szCs w:val="17"/>
          <w:color w:val="auto"/>
        </w:rPr>
        <w:t>Title of Authorized Signatory: General Couunsel of Empery Asset Management, LP [SIGNATURE PAGES CONTINUE]</w:t>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31" w:name="page32"/>
    <w:bookmarkEnd w:id="31"/>
    <w:p>
      <w:pPr>
        <w:ind w:left="3600"/>
        <w:spacing w:after="0"/>
        <w:rPr>
          <w:sz w:val="20"/>
          <w:szCs w:val="20"/>
          <w:color w:val="auto"/>
        </w:rPr>
      </w:pPr>
      <w:r>
        <w:rPr>
          <w:rFonts w:ascii="Times New Roman" w:cs="Times New Roman" w:eastAsia="Times New Roman" w:hAnsi="Times New Roman"/>
          <w:sz w:val="18"/>
          <w:szCs w:val="18"/>
          <w:color w:val="auto"/>
        </w:rPr>
        <w:t>[SIGNATURE PAGE OF HOLDERS TO MBOT RRA]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Holder: HUDSON BAY MASTER FUND LTD.</w:t>
      </w:r>
    </w:p>
    <w:p>
      <w:pPr>
        <w:spacing w:after="0" w:line="223" w:lineRule="exact"/>
        <w:rPr>
          <w:sz w:val="20"/>
          <w:szCs w:val="20"/>
          <w:color w:val="auto"/>
        </w:rPr>
      </w:pPr>
    </w:p>
    <w:p>
      <w:pPr>
        <w:spacing w:after="0"/>
        <w:tabs>
          <w:tab w:leader="none" w:pos="4260" w:val="left"/>
        </w:tabs>
        <w:rPr>
          <w:sz w:val="20"/>
          <w:szCs w:val="20"/>
          <w:color w:val="auto"/>
        </w:rPr>
      </w:pPr>
      <w:r>
        <w:rPr>
          <w:rFonts w:ascii="Times New Roman" w:cs="Times New Roman" w:eastAsia="Times New Roman" w:hAnsi="Times New Roman"/>
          <w:sz w:val="18"/>
          <w:szCs w:val="18"/>
          <w:i w:val="1"/>
          <w:iCs w:val="1"/>
          <w:color w:val="auto"/>
        </w:rPr>
        <w:t>Signature of Authorized Signatory of Holder</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/s/ Richard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18415</wp:posOffset>
            </wp:positionV>
            <wp:extent cx="284607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Richard Allison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Title of Authorized Signatory: Authorized Signatory, Hudson Bay Capital Management LP not individually, but solely as Investment Advisor to Hudson Bay Master Fund Ltd.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Plan of Distribution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Selling Stockholder (the “</w:t>
      </w:r>
      <w:r>
        <w:rPr>
          <w:rFonts w:ascii="Times New Roman" w:cs="Times New Roman" w:eastAsia="Times New Roman" w:hAnsi="Times New Roman"/>
          <w:sz w:val="18"/>
          <w:szCs w:val="18"/>
          <w:u w:val="single" w:color="auto"/>
          <w:color w:val="auto"/>
        </w:rPr>
        <w:t>Selling Stockholders</w:t>
      </w:r>
      <w:r>
        <w:rPr>
          <w:rFonts w:ascii="Times New Roman" w:cs="Times New Roman" w:eastAsia="Times New Roman" w:hAnsi="Times New Roman"/>
          <w:sz w:val="18"/>
          <w:szCs w:val="18"/>
          <w:color w:val="auto"/>
        </w:rPr>
        <w:t>”) of the securities and any of their pledgees, assignees and successors-in-interest may, from time to time, sell any or all of their securities covered hereby on the principal Trading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180" w:lineRule="exact"/>
        <w:rPr>
          <w:sz w:val="20"/>
          <w:szCs w:val="20"/>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Stockholders to sell a specified number of such securities at a stipulated price per security;</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Selling Stockholders may also sell securities under Rule 144 or any other exemption from registration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if available, rather than under this prospectus.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brokers-dealers to participate in sales. Broker-dealers may receive commissions or discounts from the Selling Stockholders (or, if any broker-dealer acts as agent for the purchasers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agreed to keep this prospectus effective until the earlier of (i) the date on which the securities may be resold by the Selling Stockholders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common stock being offered by the selling shareholders are those previously issued to the selling shareholders. For additional information regarding the issuances of those shares of common stock, see “Litigation Settlement” above. We are registering the shares of common stock in order to permit the selling shareholders to offer the shares for resale from time to time. Except for the ownership of the shares of common stock and as described in “Litigation Settlement” described above, the selling shareholders have not had any material relationship with us within the past three years.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 below lists the selling shareholders and other information regarding the beneficial ownership of the shares of common stock by each of the selling shareholders. The second column lists the number of shares of common stock beneficially owned by each selling shareholder, based on its ownership of the shares of common stock, as of ________, 2024.</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third column lists the shares of common stock being offered by this prospectus by the selling shareholders.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the terms of a registration rights agreement with the selling shareholders, this prospectus generally covers the resale of the sum of the number of shares of common stock issued to the selling shareholders in “Litigation Settlement” described above The fourth column assumes the sale of all of the shares offered by the selling shareholders pursuant to this prospectus.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selling shareholders may sell all, some or none of their shares in this offering. See “Plan of Distribution.”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Maximum Number of shares of</w:t>
            </w:r>
          </w:p>
        </w:tc>
        <w:tc>
          <w:tcPr>
            <w:tcW w:w="268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 of Common</w:t>
            </w:r>
          </w:p>
        </w:tc>
        <w:tc>
          <w:tcPr>
            <w:tcW w:w="220" w:type="dxa"/>
            <w:vAlign w:val="bottom"/>
          </w:tcPr>
          <w:p>
            <w:pPr>
              <w:spacing w:after="0"/>
              <w:rPr>
                <w:sz w:val="18"/>
                <w:szCs w:val="18"/>
                <w:color w:val="auto"/>
              </w:rPr>
            </w:pPr>
          </w:p>
        </w:tc>
        <w:tc>
          <w:tcPr>
            <w:tcW w:w="29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Common Stock to be Sold</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 of Common</w:t>
            </w:r>
          </w:p>
        </w:tc>
      </w:tr>
      <w:tr>
        <w:trPr>
          <w:trHeight w:val="245"/>
        </w:trPr>
        <w:tc>
          <w:tcPr>
            <w:tcW w:w="27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Name of Selling Shareholder</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 Owned Prior to Offering</w:t>
            </w:r>
          </w:p>
        </w:tc>
        <w:tc>
          <w:tcPr>
            <w:tcW w:w="220" w:type="dxa"/>
            <w:vAlign w:val="bottom"/>
          </w:tcPr>
          <w:p>
            <w:pPr>
              <w:spacing w:after="0"/>
              <w:rPr>
                <w:sz w:val="21"/>
                <w:szCs w:val="21"/>
                <w:color w:val="auto"/>
              </w:rPr>
            </w:pPr>
          </w:p>
        </w:tc>
        <w:tc>
          <w:tcPr>
            <w:tcW w:w="29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Pursuant to this Prospectus</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 Owned After Offering</w:t>
            </w:r>
          </w:p>
        </w:tc>
      </w:tr>
      <w:tr>
        <w:trPr>
          <w:trHeight w:val="216"/>
        </w:trPr>
        <w:tc>
          <w:tcPr>
            <w:tcW w:w="25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spacing w:after="0"/>
              <w:rPr>
                <w:sz w:val="18"/>
                <w:szCs w:val="18"/>
                <w:color w:val="auto"/>
              </w:rPr>
            </w:pPr>
          </w:p>
        </w:tc>
      </w:tr>
      <w:tr>
        <w:trPr>
          <w:trHeight w:val="439"/>
        </w:trPr>
        <w:tc>
          <w:tcPr>
            <w:tcW w:w="2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2"/>
          </w:tcPr>
          <w:p>
            <w:pPr>
              <w:jc w:val="right"/>
              <w:ind w:right="253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-856615</wp:posOffset>
            </wp:positionV>
            <wp:extent cx="7132320" cy="5657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156845</wp:posOffset>
            </wp:positionV>
            <wp:extent cx="1928495" cy="7461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28495"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Announces Settlement and Release Agreement, Effectively Resolving all Associated Legal Matters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of the cash payable to the plaintiffs in the settlement will be covered by Microbot’s insurance carrier and will not impact company’s cash position</w:t>
      </w:r>
    </w:p>
    <w:p>
      <w:pPr>
        <w:spacing w:after="0" w:line="23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b w:val="1"/>
          <w:bCs w:val="1"/>
          <w:color w:val="auto"/>
        </w:rPr>
        <w:t xml:space="preserve">BRAINTREE, Mass., January 30, 2024 </w:t>
      </w:r>
      <w:r>
        <w:rPr>
          <w:rFonts w:ascii="Times New Roman" w:cs="Times New Roman" w:eastAsia="Times New Roman" w:hAnsi="Times New Roman"/>
          <w:sz w:val="18"/>
          <w:szCs w:val="18"/>
          <w:color w:val="auto"/>
        </w:rPr>
        <w:t>– Microbot Medical Inc. (Nasdaq: MBOT), developer of the innovative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Endovascular Robotic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Surgical System, today announced it has signed a Settlement Agreement and Release with Empery Asset Master Ltd., Empery Tax Efficient, LP, Empery Tax Efficient II, LP, Hudson Bay Master Fund Ltd. that resolves all claims asserted against the Company by these entities in a lawsuit filed in 2020 relating to a June 2017 securities purchase agreement.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cash payable to the plaintiffs in the settlement, representing over half of the settlement amount, will be covered by Microbot’s insurance carrier.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arrangement ensures that the settlement will not impact the company’s cash position or its balance sheet.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resolving this matter while maintaining our cash position is in the best interest of our shareholders, as it allows us to continue to move forward with focus on the upcoming milestones, including our IDE submission with the FDA and planned commencement of our first in human clinical trial,” said Harel Gadot, CEO, President and Chairman of Microbot Medical.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Microbot Medical Inc. (NASDAQ: MBOT) is a pre-clinical medical device company that specializes in transformational micro-robotic technologies, with the goals of improving clinical outcomes for patients and increasing accessibility through the natural and artificial lumens within the human body.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LIBERTY Endovascular Robotic Surgical System aims to improve the way surgical robotics are being used in endovascular procedures today, by eliminating the need for large, cumbersome, and expensive capital equipment, while reducing radiation exposure and physician strain. The Company believes the LIBERTY Endovascular Robotic Surgical System’s remote operation has the potential to be the first system to democratize endovascular interventional procedures.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Further information about Microbot Medical is available at </w:t>
      </w:r>
      <w:r>
        <w:rPr>
          <w:rFonts w:ascii="Times New Roman" w:cs="Times New Roman" w:eastAsia="Times New Roman" w:hAnsi="Times New Roman"/>
          <w:sz w:val="18"/>
          <w:szCs w:val="18"/>
          <w:u w:val="single" w:color="auto"/>
          <w:color w:val="auto"/>
        </w:rPr>
        <w:t>http://www.microbotmedical.com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potential products, including LIBERTY, the outcome of its studies to evaluate LIBERTY, whether the Company’s core business focus program and cost reduction plan are sufficient to enable the Company to continue to focus on its LIBERTY technology while it stabilizes its financial condition and seeks additional working capital, any failure or inability to recruit physicians and clinicians to serve as primary investigators to conduct regulatory studies which could adversely affect or delay such studies, uncertainty in the results of pre-clinical and clinical trials or regulatory pathways and regulatory approvals, disruptions resulting from new and ongoing hostilities between Israel and the Palestinians, any lingering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Michal Efraty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+972-(0)52-3044404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decimal"/>
      <w:start w:val="1"/>
    </w:lvl>
  </w:abstractNum>
  <w:abstractNum w:abstractNumId="2">
    <w:nsid w:val="1BEFD79F"/>
    <w:multiLevelType w:val="hybridMultilevel"/>
    <w:lvl w:ilvl="0">
      <w:lvlJc w:val="left"/>
      <w:lvlText w:val="%1."/>
      <w:numFmt w:val="decimal"/>
      <w:start w:val="3"/>
    </w:lvl>
    <w:lvl w:ilvl="1">
      <w:lvlJc w:val="left"/>
      <w:lvlText w:val="(%2)"/>
      <w:numFmt w:val="lowerLetter"/>
      <w:start w:val="1"/>
    </w:lvl>
  </w:abstractNum>
  <w:abstractNum w:abstractNumId="3">
    <w:nsid w:val="41A7C4C9"/>
    <w:multiLevelType w:val="hybridMultilevel"/>
    <w:lvl w:ilvl="0">
      <w:lvlJc w:val="left"/>
      <w:lvlText w:val="(%1)"/>
      <w:numFmt w:val="lowerLetter"/>
      <w:start w:val="2"/>
    </w:lvl>
  </w:abstractNum>
  <w:abstractNum w:abstractNumId="4">
    <w:nsid w:val="6B68079A"/>
    <w:multiLevelType w:val="hybridMultilevel"/>
    <w:lvl w:ilvl="0">
      <w:lvlJc w:val="left"/>
      <w:lvlText w:val="(%1)"/>
      <w:numFmt w:val="lowerLetter"/>
      <w:start w:val="4"/>
    </w:lvl>
  </w:abstractNum>
  <w:abstractNum w:abstractNumId="5">
    <w:nsid w:val="4E6AFB66"/>
    <w:multiLevelType w:val="hybridMultilevel"/>
    <w:lvl w:ilvl="0">
      <w:lvlJc w:val="left"/>
      <w:lvlText w:val="%1."/>
      <w:numFmt w:val="decimal"/>
      <w:start w:val="5"/>
    </w:lvl>
    <w:lvl w:ilvl="1">
      <w:lvlJc w:val="left"/>
      <w:lvlText w:val="(%2)"/>
      <w:numFmt w:val="lowerLetter"/>
      <w:start w:val="1"/>
    </w:lvl>
  </w:abstractNum>
  <w:abstractNum w:abstractNumId="6">
    <w:nsid w:val="25E45D32"/>
    <w:multiLevelType w:val="hybridMultilevel"/>
    <w:lvl w:ilvl="0">
      <w:lvlJc w:val="left"/>
      <w:lvlText w:val="(%1)"/>
      <w:numFmt w:val="lowerLetter"/>
      <w:start w:val="2"/>
    </w:lvl>
  </w:abstractNum>
  <w:abstractNum w:abstractNumId="7">
    <w:nsid w:val="519B500D"/>
    <w:multiLevelType w:val="hybridMultilevel"/>
    <w:lvl w:ilvl="0">
      <w:lvlJc w:val="left"/>
      <w:lvlText w:val="%1."/>
      <w:numFmt w:val="decimal"/>
      <w:start w:val="6"/>
    </w:lvl>
  </w:abstractNum>
  <w:abstractNum w:abstractNumId="8">
    <w:nsid w:val="431BD7B7"/>
    <w:multiLevelType w:val="hybridMultilevel"/>
    <w:lvl w:ilvl="0">
      <w:lvlJc w:val="left"/>
      <w:lvlText w:val="%1."/>
      <w:numFmt w:val="decimal"/>
      <w:start w:val="11"/>
    </w:lvl>
  </w:abstractNum>
  <w:abstractNum w:abstractNumId="9">
    <w:nsid w:val="3F2DBA31"/>
    <w:multiLevelType w:val="hybridMultilevel"/>
    <w:lvl w:ilvl="0">
      <w:lvlJc w:val="left"/>
      <w:lvlText w:val="%1."/>
      <w:numFmt w:val="decimal"/>
      <w:start w:val="19"/>
    </w:lvl>
  </w:abstractNum>
  <w:abstractNum w:abstractNumId="10">
    <w:nsid w:val="7C83E458"/>
    <w:multiLevelType w:val="hybridMultilevel"/>
    <w:lvl w:ilvl="0">
      <w:lvlJc w:val="left"/>
      <w:lvlText w:val="%1."/>
      <w:numFmt w:val="decimal"/>
      <w:start w:val="23"/>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2"/>
    </w:lvl>
    <w:lvl w:ilvl="1">
      <w:lvlJc w:val="left"/>
      <w:lvlText w:val="(%2)"/>
      <w:numFmt w:val="lowerLetter"/>
      <w:start w:val="1"/>
    </w:lvl>
  </w:abstractNum>
  <w:abstractNum w:abstractNumId="13">
    <w:nsid w:val="436C6125"/>
    <w:multiLevelType w:val="hybridMultilevel"/>
    <w:lvl w:ilvl="0">
      <w:lvlJc w:val="left"/>
      <w:lvlText w:val="(%1)"/>
      <w:numFmt w:val="lowerLetter"/>
      <w:start w:val="2"/>
    </w:lvl>
  </w:abstractNum>
  <w:abstractNum w:abstractNumId="14">
    <w:nsid w:val="628C895D"/>
    <w:multiLevelType w:val="hybridMultilevel"/>
    <w:lvl w:ilvl="0">
      <w:lvlJc w:val="left"/>
      <w:lvlText w:val="%1"/>
      <w:numFmt w:val="decimal"/>
      <w:start w:val="1"/>
    </w:lvl>
    <w:lvl w:ilvl="1">
      <w:lvlJc w:val="left"/>
      <w:lvlText w:val="(%2)"/>
      <w:numFmt w:val="lowerLetter"/>
      <w:start w:val="4"/>
    </w:lvl>
  </w:abstractNum>
  <w:abstractNum w:abstractNumId="15">
    <w:nsid w:val="333AB105"/>
    <w:multiLevelType w:val="hybridMultilevel"/>
    <w:lvl w:ilvl="0">
      <w:lvlJc w:val="left"/>
      <w:lvlText w:val="%1."/>
      <w:numFmt w:val="decimal"/>
      <w:start w:val="3"/>
    </w:lvl>
    <w:lvl w:ilvl="1">
      <w:lvlJc w:val="left"/>
      <w:lvlText w:val="(%2)"/>
      <w:numFmt w:val="lowerLetter"/>
      <w:start w:val="1"/>
    </w:lvl>
  </w:abstractNum>
  <w:abstractNum w:abstractNumId="16">
    <w:nsid w:val="721DA317"/>
    <w:multiLevelType w:val="hybridMultilevel"/>
    <w:lvl w:ilvl="0">
      <w:lvlJc w:val="left"/>
      <w:lvlText w:val="(%1)"/>
      <w:numFmt w:val="lowerLetter"/>
      <w:start w:val="3"/>
    </w:lvl>
  </w:abstractNum>
  <w:abstractNum w:abstractNumId="17">
    <w:nsid w:val="2443A858"/>
    <w:multiLevelType w:val="hybridMultilevel"/>
    <w:lvl w:ilvl="0">
      <w:lvlJc w:val="left"/>
      <w:lvlText w:val="(%1)"/>
      <w:numFmt w:val="lowerLetter"/>
      <w:start w:val="6"/>
    </w:lvl>
  </w:abstractNum>
  <w:abstractNum w:abstractNumId="18">
    <w:nsid w:val="2D1D5AE9"/>
    <w:multiLevelType w:val="hybridMultilevel"/>
    <w:lvl w:ilvl="0">
      <w:lvlJc w:val="left"/>
      <w:lvlText w:val="%1"/>
      <w:numFmt w:val="decimal"/>
      <w:start w:val="1"/>
    </w:lvl>
    <w:lvl w:ilvl="1">
      <w:lvlJc w:val="left"/>
      <w:lvlText w:val="(%2)"/>
      <w:numFmt w:val="lowerLetter"/>
      <w:start w:val="10"/>
    </w:lvl>
  </w:abstractNum>
  <w:abstractNum w:abstractNumId="19">
    <w:nsid w:val="6763845E"/>
    <w:multiLevelType w:val="hybridMultilevel"/>
    <w:lvl w:ilvl="0">
      <w:lvlJc w:val="left"/>
      <w:lvlText w:val="%1."/>
      <w:numFmt w:val="decimal"/>
      <w:start w:val="4"/>
    </w:lvl>
    <w:lvl w:ilvl="1">
      <w:lvlJc w:val="left"/>
      <w:lvlText w:val="%2"/>
      <w:numFmt w:val="lowerLetter"/>
      <w:start w:val="1"/>
    </w:lvl>
  </w:abstractNum>
  <w:abstractNum w:abstractNumId="20">
    <w:nsid w:val="75A2A8D4"/>
    <w:multiLevelType w:val="hybridMultilevel"/>
    <w:lvl w:ilvl="0">
      <w:lvlJc w:val="left"/>
      <w:lvlText w:val="%1."/>
      <w:numFmt w:val="decimal"/>
      <w:start w:val="5"/>
    </w:lvl>
    <w:lvl w:ilvl="1">
      <w:lvlJc w:val="left"/>
      <w:lvlText w:val="(%2)"/>
      <w:numFmt w:val="lowerLetter"/>
      <w:start w:val="1"/>
    </w:lvl>
  </w:abstractNum>
  <w:abstractNum w:abstractNumId="21">
    <w:nsid w:val="8EDBDAB"/>
    <w:multiLevelType w:val="hybridMultilevel"/>
    <w:lvl w:ilvl="0">
      <w:lvlJc w:val="left"/>
      <w:lvlText w:val="(%1)"/>
      <w:numFmt w:val="lowerLetter"/>
      <w:start w:val="2"/>
    </w:lvl>
  </w:abstractNum>
  <w:abstractNum w:abstractNumId="22">
    <w:nsid w:val="79838CB2"/>
    <w:multiLevelType w:val="hybridMultilevel"/>
    <w:lvl w:ilvl="0">
      <w:lvlJc w:val="left"/>
      <w:lvlText w:val="(%1)"/>
      <w:numFmt w:val="lowerLetter"/>
      <w:start w:val="4"/>
    </w:lvl>
  </w:abstractNum>
  <w:abstractNum w:abstractNumId="23">
    <w:nsid w:val="4353D0CD"/>
    <w:multiLevelType w:val="hybridMultilevel"/>
    <w:lvl w:ilvl="0">
      <w:lvlJc w:val="left"/>
      <w:lvlText w:val="%1."/>
      <w:numFmt w:val="decimal"/>
      <w:start w:val="6"/>
    </w:lvl>
    <w:lvl w:ilvl="1">
      <w:lvlJc w:val="left"/>
      <w:lvlText w:val="(%2)"/>
      <w:numFmt w:val="lowerLetter"/>
      <w:start w:val="1"/>
    </w:lvl>
  </w:abstractNum>
  <w:abstractNum w:abstractNumId="24">
    <w:nsid w:val="B03E0C6"/>
    <w:multiLevelType w:val="hybridMultilevel"/>
    <w:lvl w:ilvl="0">
      <w:lvlJc w:val="left"/>
      <w:lvlText w:val="(%1)"/>
      <w:numFmt w:val="lowerLetter"/>
      <w:start w:val="2"/>
    </w:lvl>
  </w:abstractNum>
  <w:abstractNum w:abstractNumId="25">
    <w:nsid w:val="189A769B"/>
    <w:multiLevelType w:val="hybridMultilevel"/>
    <w:lvl w:ilvl="0">
      <w:lvlJc w:val="left"/>
      <w:lvlText w:val="(%1)"/>
      <w:numFmt w:val="lowerLetter"/>
      <w:start w:val="7"/>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2024-01-30T06:37:07Z</dcterms:created>
  <dcterms:modified xsi:type="dcterms:W3CDTF">2024-01-30T06:37:07Z</dcterms:modified>
</cp:coreProperties>
</file>