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8"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AS FILED WITH THE SECURITIES AND EXCHANGE COMMISSION ON NOVEMBER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333-45496</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3</w:t>
      </w:r>
    </w:p>
    <w:p>
      <w:pPr>
        <w:spacing w:after="0" w:line="2"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368"/>
          </w:cols>
          <w:pgMar w:left="232" w:top="575" w:right="299" w:bottom="0" w:gutter="0" w:footer="0" w:header="0"/>
        </w:sectPr>
      </w:pPr>
    </w:p>
    <w:p>
      <w:pPr>
        <w:spacing w:after="0" w:line="4" w:lineRule="exact"/>
        <w:rPr>
          <w:sz w:val="24"/>
          <w:szCs w:val="24"/>
          <w:color w:val="auto"/>
        </w:rPr>
      </w:pPr>
    </w:p>
    <w:p>
      <w:pPr>
        <w:ind w:left="528" w:hanging="357"/>
        <w:spacing w:after="0" w:line="267"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60"/>
        <w:spacing w:after="0"/>
        <w:rPr>
          <w:sz w:val="20"/>
          <w:szCs w:val="20"/>
          <w:color w:val="auto"/>
        </w:rPr>
      </w:pPr>
      <w:r>
        <w:rPr>
          <w:rFonts w:ascii="Courier New" w:cs="Courier New" w:eastAsia="Courier New" w:hAnsi="Courier New"/>
          <w:sz w:val="15"/>
          <w:szCs w:val="15"/>
          <w:color w:val="auto"/>
        </w:rPr>
        <w:t>2836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2"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6" w:lineRule="exact"/>
        <w:rPr>
          <w:sz w:val="24"/>
          <w:szCs w:val="24"/>
          <w:color w:val="auto"/>
        </w:rPr>
      </w:pPr>
    </w:p>
    <w:p>
      <w:pPr>
        <w:sectPr>
          <w:pgSz w:w="11900" w:h="16838" w:orient="portrait"/>
          <w:cols w:equalWidth="0" w:num="3">
            <w:col w:w="2688" w:space="540"/>
            <w:col w:w="2680" w:space="720"/>
            <w:col w:w="4740"/>
          </w:cols>
          <w:pgMar w:left="232" w:top="575" w:right="299" w:bottom="0" w:gutter="0" w:footer="0" w:header="0"/>
          <w:type w:val="continuous"/>
        </w:sectPr>
      </w:pPr>
    </w:p>
    <w:p>
      <w:pPr>
        <w:spacing w:after="0" w:line="129"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(408)731-8670</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2" w:lineRule="exact"/>
        <w:rPr>
          <w:sz w:val="24"/>
          <w:szCs w:val="24"/>
          <w:color w:val="auto"/>
        </w:rPr>
      </w:pPr>
    </w:p>
    <w:p>
      <w:pPr>
        <w:jc w:val="center"/>
        <w:ind w:right="4292"/>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IRIS BREST, ESQ.</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525 DEL REY AVENUE, SUITE C</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SUNNYVALE, CA 94085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(408)731-8670</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(Name, address, including zip code, and telephone number, including area code,</w:t>
      </w:r>
    </w:p>
    <w:p>
      <w:pPr>
        <w:spacing w:after="0" w:line="1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GEOFFREY B. DAVIS, ESQ.</w:t>
      </w:r>
    </w:p>
    <w:p>
      <w:pPr>
        <w:spacing w:after="0" w:line="2"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Ropes &amp; Gray</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One International Place</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Boston, Massachusetts 02110</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(617) 951-7000</w:t>
      </w:r>
    </w:p>
    <w:p>
      <w:pPr>
        <w:spacing w:after="0" w:line="2" w:lineRule="exact"/>
        <w:rPr>
          <w:sz w:val="24"/>
          <w:szCs w:val="24"/>
          <w:color w:val="auto"/>
        </w:rPr>
      </w:pPr>
    </w:p>
    <w:p>
      <w:pPr>
        <w:jc w:val="center"/>
        <w:ind w:right="4212"/>
        <w:spacing w:after="0"/>
        <w:rPr>
          <w:sz w:val="20"/>
          <w:szCs w:val="20"/>
          <w:color w:val="auto"/>
        </w:rPr>
      </w:pPr>
      <w:r>
        <w:rPr>
          <w:rFonts w:ascii="Courier New" w:cs="Courier New" w:eastAsia="Courier New" w:hAnsi="Courier New"/>
          <w:sz w:val="15"/>
          <w:szCs w:val="15"/>
          <w:color w:val="auto"/>
        </w:rPr>
        <w:t>(617) 951-7050 (fax)</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4660"/>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4300"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6" w:lineRule="exact"/>
        <w:rPr>
          <w:sz w:val="24"/>
          <w:szCs w:val="24"/>
          <w:color w:val="auto"/>
        </w:rPr>
      </w:pPr>
    </w:p>
    <w:p>
      <w:pPr>
        <w:ind w:left="8" w:right="4400"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4480"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left="8" w:right="4400"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1368"/>
          </w:cols>
          <w:pgMar w:left="232" w:top="575" w:right="2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248" w:right="260" w:hanging="715"/>
        <w:spacing w:after="0" w:line="274" w:lineRule="auto"/>
        <w:rPr>
          <w:sz w:val="20"/>
          <w:szCs w:val="20"/>
          <w:color w:val="auto"/>
        </w:rPr>
      </w:pPr>
      <w:r>
        <w:rPr>
          <w:rFonts w:ascii="Courier New" w:cs="Courier New" w:eastAsia="Courier New" w:hAnsi="Courier New"/>
          <w:sz w:val="14"/>
          <w:szCs w:val="14"/>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12"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OFFERING PRICE PER SHARE(1)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PROPOSED MAXIMUM AGGREGATE OFFERING PRICE(1)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ectPr>
          <w:pgSz w:w="11900" w:h="16838" w:orient="portrait"/>
          <w:cols w:equalWidth="0" w:num="5">
            <w:col w:w="3748" w:space="720"/>
            <w:col w:w="1080" w:space="540"/>
            <w:col w:w="1600" w:space="280"/>
            <w:col w:w="1600" w:space="360"/>
            <w:col w:w="1440"/>
          </w:cols>
          <w:pgMar w:left="232" w:top="575" w:right="299" w:bottom="0" w:gutter="0" w:footer="0" w:header="0"/>
          <w:type w:val="continuous"/>
        </w:sectPr>
      </w:pPr>
    </w:p>
    <w:bookmarkStart w:id="1" w:name="page2"/>
    <w:bookmarkEnd w:id="1"/>
    <w:p>
      <w:pPr>
        <w:ind w:left="8"/>
        <w:spacing w:after="0"/>
        <w:tabs>
          <w:tab w:leader="none" w:pos="4268" w:val="left"/>
          <w:tab w:leader="none" w:pos="6688" w:val="left"/>
          <w:tab w:leader="none" w:pos="8308" w:val="left"/>
          <w:tab w:leader="none" w:pos="10268" w:val="left"/>
        </w:tabs>
        <w:rPr>
          <w:sz w:val="20"/>
          <w:szCs w:val="20"/>
          <w:color w:val="auto"/>
        </w:rPr>
      </w:pPr>
      <w:r>
        <w:rPr>
          <w:rFonts w:ascii="Courier New" w:cs="Courier New" w:eastAsia="Courier New" w:hAnsi="Courier New"/>
          <w:sz w:val="15"/>
          <w:szCs w:val="15"/>
          <w:color w:val="auto"/>
        </w:rPr>
        <w:t>Common Stock, par value $.01 per share.......</w:t>
        <w:tab/>
        <w:t>3,205,486 Shares</w:t>
      </w:r>
      <w:r>
        <w:rPr>
          <w:sz w:val="20"/>
          <w:szCs w:val="20"/>
          <w:color w:val="auto"/>
        </w:rPr>
        <w:tab/>
      </w:r>
      <w:r>
        <w:rPr>
          <w:rFonts w:ascii="Courier New" w:cs="Courier New" w:eastAsia="Courier New" w:hAnsi="Courier New"/>
          <w:sz w:val="15"/>
          <w:szCs w:val="15"/>
          <w:color w:val="auto"/>
        </w:rPr>
        <w:t>$8.22</w:t>
      </w:r>
      <w:r>
        <w:rPr>
          <w:sz w:val="20"/>
          <w:szCs w:val="20"/>
          <w:color w:val="auto"/>
        </w:rPr>
        <w:tab/>
      </w:r>
      <w:r>
        <w:rPr>
          <w:rFonts w:ascii="Courier New" w:cs="Courier New" w:eastAsia="Courier New" w:hAnsi="Courier New"/>
          <w:sz w:val="15"/>
          <w:szCs w:val="15"/>
          <w:color w:val="auto"/>
        </w:rPr>
        <w:t>$26,349,094</w:t>
      </w:r>
      <w:r>
        <w:rPr>
          <w:sz w:val="20"/>
          <w:szCs w:val="20"/>
          <w:color w:val="auto"/>
        </w:rPr>
        <w:tab/>
      </w:r>
      <w:r>
        <w:rPr>
          <w:rFonts w:ascii="Courier New" w:cs="Courier New" w:eastAsia="Courier New" w:hAnsi="Courier New"/>
          <w:sz w:val="14"/>
          <w:szCs w:val="14"/>
          <w:color w:val="auto"/>
        </w:rPr>
        <w:t>$6,956.16</w:t>
      </w:r>
    </w:p>
    <w:p>
      <w:pPr>
        <w:spacing w:after="0" w:line="348" w:lineRule="exact"/>
        <w:rPr>
          <w:sz w:val="20"/>
          <w:szCs w:val="20"/>
          <w:color w:val="auto"/>
        </w:rPr>
      </w:pPr>
    </w:p>
    <w:p>
      <w:pPr>
        <w:ind w:left="348" w:right="4020" w:hanging="348"/>
        <w:spacing w:after="0" w:line="242" w:lineRule="auto"/>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under the Securities Act of 1933. The maximum price per share information is based on the average of the high and low sale prices on the Nasdaq National Market on September 7, 2000.</w:t>
      </w:r>
    </w:p>
    <w:p>
      <w:pPr>
        <w:spacing w:after="0" w:line="1"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940"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088"/>
          </w:cols>
          <w:pgMar w:left="232" w:top="312" w:right="5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NOVEMBER</w:t>
      </w:r>
      <w:r>
        <w:rPr>
          <w:sz w:val="20"/>
          <w:szCs w:val="20"/>
          <w:color w:val="auto"/>
        </w:rPr>
        <w:tab/>
      </w:r>
      <w:r>
        <w:rPr>
          <w:rFonts w:ascii="Courier New" w:cs="Courier New" w:eastAsia="Courier New" w:hAnsi="Courier New"/>
          <w:sz w:val="15"/>
          <w:szCs w:val="15"/>
          <w:color w:val="auto"/>
        </w:rPr>
        <w:t>, 2000</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SHARES OF COMMON STOCK</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The selling stockholders listed on page 44 of this prospectus or in an accompanying supplement to this prospectus are offering to sell 3,205,486 shares of our common stock.</w:t>
      </w:r>
    </w:p>
    <w:p>
      <w:pPr>
        <w:spacing w:after="0" w:line="176"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THIS INVESTMENT INVOLVES RISKS. SEE "RISK FACTORS" BEGINNING ON PAGE 4.</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10219"/>
          </w:cols>
          <w:pgMar w:left="240" w:top="633" w:right="1440" w:bottom="1440" w:gutter="0" w:footer="0" w:header="0"/>
        </w:sectPr>
      </w:pPr>
    </w:p>
    <w:bookmarkStart w:id="3" w:name="page4"/>
    <w:bookmarkEnd w:id="3"/>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dot" w:pos="408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Beneficial Owners and Management</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and Transactions with</w:t>
      </w:r>
    </w:p>
    <w:p>
      <w:pPr>
        <w:spacing w:after="0" w:line="2" w:lineRule="exact"/>
        <w:rPr>
          <w:sz w:val="20"/>
          <w:szCs w:val="20"/>
          <w:color w:val="auto"/>
        </w:rPr>
      </w:pPr>
    </w:p>
    <w:p>
      <w:pPr>
        <w:ind w:left="180"/>
        <w:spacing w:after="0"/>
        <w:tabs>
          <w:tab w:leader="dot" w:pos="4000" w:val="left"/>
        </w:tabs>
        <w:rPr>
          <w:sz w:val="20"/>
          <w:szCs w:val="20"/>
          <w:color w:val="auto"/>
        </w:rPr>
      </w:pPr>
      <w:r>
        <w:rPr>
          <w:rFonts w:ascii="Courier New" w:cs="Courier New" w:eastAsia="Courier New" w:hAnsi="Courier New"/>
          <w:sz w:val="15"/>
          <w:szCs w:val="15"/>
          <w:color w:val="auto"/>
        </w:rPr>
        <w:t>Related Parties</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400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spacing w:after="0"/>
        <w:tabs>
          <w:tab w:leader="dot" w:pos="390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Sheets</w:t>
      </w:r>
      <w:r>
        <w:rPr>
          <w:sz w:val="20"/>
          <w:szCs w:val="20"/>
          <w:color w:val="auto"/>
        </w:rPr>
        <w:tab/>
      </w:r>
      <w:r>
        <w:rPr>
          <w:rFonts w:ascii="Courier New" w:cs="Courier New" w:eastAsia="Courier New" w:hAnsi="Courier New"/>
          <w:sz w:val="14"/>
          <w:szCs w:val="14"/>
          <w:color w:val="auto"/>
        </w:rPr>
        <w:t>F-25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4"/>
          <w:szCs w:val="14"/>
          <w:color w:val="auto"/>
        </w:rPr>
        <w:t>F-26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Cash Flows</w:t>
      </w:r>
      <w:r>
        <w:rPr>
          <w:sz w:val="20"/>
          <w:szCs w:val="20"/>
          <w:color w:val="auto"/>
        </w:rPr>
        <w:tab/>
      </w:r>
      <w:r>
        <w:rPr>
          <w:rFonts w:ascii="Courier New" w:cs="Courier New" w:eastAsia="Courier New" w:hAnsi="Courier New"/>
          <w:sz w:val="14"/>
          <w:szCs w:val="14"/>
          <w:color w:val="auto"/>
        </w:rPr>
        <w:t>F-27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w:t>
      </w:r>
    </w:p>
    <w:p>
      <w:pPr>
        <w:spacing w:after="0" w:line="2" w:lineRule="exact"/>
        <w:rPr>
          <w:sz w:val="20"/>
          <w:szCs w:val="20"/>
          <w:color w:val="auto"/>
        </w:rPr>
      </w:pPr>
    </w:p>
    <w:p>
      <w:pPr>
        <w:ind w:left="180"/>
        <w:spacing w:after="0"/>
        <w:tabs>
          <w:tab w:leader="dot" w:pos="382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4"/>
          <w:szCs w:val="14"/>
          <w:color w:val="auto"/>
        </w:rPr>
        <w:t>F-28</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61" w:right="1440" w:bottom="1440" w:gutter="0" w:footer="0" w:header="0"/>
        </w:sectPr>
      </w:pPr>
    </w:p>
    <w:bookmarkStart w:id="4" w:name="page5"/>
    <w:bookmarkEnd w:id="4"/>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STEMCELLS, INC.</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1" w:right="1440" w:bottom="1440" w:gutter="0" w:footer="0" w:header="0"/>
        </w:sectPr>
      </w:pPr>
    </w:p>
    <w:bookmarkStart w:id="5" w:name="page6"/>
    <w:bookmarkEnd w:id="5"/>
    <w:p>
      <w:pPr>
        <w:jc w:val="center"/>
        <w:ind w:right="4460"/>
        <w:spacing w:after="0"/>
        <w:rPr>
          <w:sz w:val="20"/>
          <w:szCs w:val="20"/>
          <w:color w:val="auto"/>
        </w:rPr>
      </w:pPr>
      <w:r>
        <w:rPr>
          <w:rFonts w:ascii="Courier New" w:cs="Courier New" w:eastAsia="Courier New" w:hAnsi="Courier New"/>
          <w:sz w:val="15"/>
          <w:szCs w:val="15"/>
          <w:color w:val="auto"/>
        </w:rPr>
        <w:t>SUMMARY CONSOLIDATED FINANCIAL AND OTHER DATA</w:t>
      </w:r>
    </w:p>
    <w:p>
      <w:pPr>
        <w:spacing w:after="0" w:line="2"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right="4460" w:firstLine="358"/>
        <w:spacing w:after="0" w:line="265" w:lineRule="auto"/>
        <w:rPr>
          <w:sz w:val="20"/>
          <w:szCs w:val="20"/>
          <w:color w:val="auto"/>
        </w:rPr>
      </w:pPr>
      <w:r>
        <w:rPr>
          <w:rFonts w:ascii="Courier New" w:cs="Courier New" w:eastAsia="Courier New" w:hAnsi="Courier New"/>
          <w:sz w:val="14"/>
          <w:szCs w:val="14"/>
          <w:color w:val="auto"/>
        </w:rPr>
        <w:t>The following table summarizes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NINE MONTHS</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w:t>
            </w: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30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7"/>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8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82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11,761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14,730</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ECT wind-down 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(8,891)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(18,114)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(12,628)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(15,709)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(10,484)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(4,865)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12,799</w:t>
            </w:r>
          </w:p>
        </w:tc>
        <w:tc>
          <w:tcPr>
            <w:tcW w:w="220" w:type="dxa"/>
            <w:vAlign w:val="bottom"/>
          </w:tcPr>
          <w:p>
            <w:pPr>
              <w:spacing w:after="0"/>
              <w:rPr>
                <w:sz w:val="14"/>
                <w:szCs w:val="14"/>
                <w:color w:val="auto"/>
              </w:rPr>
            </w:pP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15,430</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19,683</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36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360" w:type="dxa"/>
            <w:vAlign w:val="bottom"/>
          </w:tcPr>
          <w:p>
            <w:pPr>
              <w:spacing w:after="0"/>
              <w:rPr>
                <w:sz w:val="14"/>
                <w:szCs w:val="14"/>
                <w:color w:val="auto"/>
              </w:rPr>
            </w:pPr>
          </w:p>
        </w:tc>
        <w:tc>
          <w:tcPr>
            <w:tcW w:w="1080" w:type="dxa"/>
            <w:vAlign w:val="bottom"/>
          </w:tcPr>
          <w:p>
            <w:pPr>
              <w:jc w:val="right"/>
              <w:ind w:right="391"/>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 securities...........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Restricted investments.....................................</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 leases...............</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Redeemable common stock....................................</w:t>
            </w:r>
          </w:p>
        </w:tc>
        <w:tc>
          <w:tcPr>
            <w:tcW w:w="10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spacing w:after="0"/>
              <w:rPr>
                <w:sz w:val="14"/>
                <w:szCs w:val="14"/>
                <w:color w:val="auto"/>
              </w:rPr>
            </w:pP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jc w:val="right"/>
              <w:ind w:right="291"/>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380" w:firstLine="358"/>
        <w:spacing w:after="0" w:line="242" w:lineRule="auto"/>
        <w:rPr>
          <w:sz w:val="20"/>
          <w:szCs w:val="20"/>
          <w:color w:val="auto"/>
        </w:rPr>
      </w:pPr>
      <w:r>
        <w:rPr>
          <w:rFonts w:ascii="Courier New" w:cs="Courier New" w:eastAsia="Courier New" w:hAnsi="Courier New"/>
          <w:sz w:val="15"/>
          <w:szCs w:val="15"/>
          <w:color w:val="auto"/>
        </w:rPr>
        <w:t>In July 1999 we began restructuring the company to focus solely on our stem cell technology. As part of this restructuring we terminated all activities related to our former encapsulated cell technology and we relocated our headquarters from Lincoln, Rhode Island to Sunnyvale, California. The results shown for the nine months ended September 30, 2000 includes $768,783 in expenses related to the restructuring. For more information on this restructuring see "Risk Factors," "Business" and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322" w:lineRule="exact"/>
        <w:rPr>
          <w:sz w:val="20"/>
          <w:szCs w:val="20"/>
          <w:color w:val="auto"/>
        </w:rPr>
      </w:pPr>
    </w:p>
    <w:p>
      <w:pPr>
        <w:ind w:right="4460" w:firstLine="358"/>
        <w:spacing w:after="0" w:line="242" w:lineRule="auto"/>
        <w:rPr>
          <w:sz w:val="20"/>
          <w:szCs w:val="20"/>
          <w:color w:val="auto"/>
        </w:rPr>
      </w:pPr>
      <w:r>
        <w:rPr>
          <w:rFonts w:ascii="Courier New" w:cs="Courier New" w:eastAsia="Courier New" w:hAnsi="Courier New"/>
          <w:sz w:val="15"/>
          <w:szCs w:val="15"/>
          <w:color w:val="auto"/>
        </w:rPr>
        <w:t>During 2000 we realized a $1,427,686 gain and recognized an increase in value related to our remaining holdings of $27,204,333 in connection with our investment in Modex Therapeutics Ltd., a Swiss biotechnology company that completed an initial public offering on June 23, 2000. For more information on Modex see "Risk Factors" and "Management's Discussion and Analysis of Financial Condition and Results of Operations" and our consolidated financial statements and notes included elsewhere in this prospectus.</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461" w:right="139" w:bottom="1440" w:gutter="0" w:footer="0" w:header="0"/>
        </w:sectPr>
      </w:pPr>
    </w:p>
    <w:bookmarkStart w:id="6" w:name="page7"/>
    <w:bookmarkEnd w:id="6"/>
    <w:p>
      <w:pPr>
        <w:jc w:val="center"/>
        <w:ind w:right="3071"/>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175"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8"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3" w:lineRule="exact"/>
        <w:rPr>
          <w:rFonts w:ascii="Courier New" w:cs="Courier New" w:eastAsia="Courier New" w:hAnsi="Courier New"/>
          <w:sz w:val="15"/>
          <w:szCs w:val="15"/>
          <w:color w:val="auto"/>
        </w:rPr>
      </w:pPr>
    </w:p>
    <w:p>
      <w:pPr>
        <w:ind w:left="8" w:right="3259" w:hanging="8"/>
        <w:spacing w:after="0" w:line="262" w:lineRule="auto"/>
        <w:tabs>
          <w:tab w:leader="none" w:pos="45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62"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5"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w:t>
      </w:r>
    </w:p>
    <w:p>
      <w:pPr>
        <w:spacing w:after="0" w:line="177"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Even though we own 126,193 shares of Modex Therapeutics Ltd., stock with an estimated fair market value on June 30, 2000 of $19,220,165 based on the per share price of approximately $152.00, which we converted from a market price of 247.50 Swiss francs on June 30, 2000, we are restricted from selling these shares until December 23, 2000. On October 31, 2000, the market price of Modex stock was 329.50 Swiss francs, which converts to $183.28 using the exchange rates on that date, and represents an estimated fair market value of $23,128,598 for our holdings. The performance of Modex stock since Modex's initial public offering does not predict its future value and the value of our holdings is subject to change and could decrease significantly. If we decide to sell our Modex shares, due to the relatively small trading volume in Modex shares and the relatively large size of our holding, or other factors, we may not be able to sell our Modex shares at their market value or at all, and we may have to sell these shares at a significant discount to the market price. In addition, fluctuations in currency exchange rates could decrease the proceeds we might realize on a potential sale of Modex shares.</w:t>
      </w:r>
    </w:p>
    <w:p>
      <w:pPr>
        <w:spacing w:after="0" w:line="18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7" w:name="page8"/>
    <w:bookmarkEnd w:id="7"/>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our needed capital resources through equity and debt financings, corporate alliances, grants and collaborative research arrangements. Our ability to complete any such arrangements successfully will depend upon market conditions and, more specifically, on continued progress in our research and development efforts. We may fail to obtain the necessary capital resources from any such sources when needed or on terms acceptable to us.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$950,000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are in violation of this provision. The landlord has agreed not to take any action as a result of this violation until November 19, 2000. We intend to seek an additional period of forebearance from the landlord, but we cannot give any assurance that the landlord will grant this additional forebearance or that we will be able to sublease the premises during any additional period of time. If the landlord decides to pursue its rights after any period of forebearance, we may be required to pay the landlord the entire amount due for the rest of the lease period.</w:t>
      </w:r>
    </w:p>
    <w:p>
      <w:pPr>
        <w:spacing w:after="0" w:line="187"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33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entered into a Sponsored Research Agreement with the Scripps Research Institute under which we funded certain research in return for licenses or options to license the inventions resulting from the research. This agreement expired on November 14, 2000 and we are negotiating with Scripps to extend the term of this agreement or to enter into a new agreement. As of the date of this prospectus, we have not yet completed our negotiations with Scripps and we cannot give any assurance</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3" w:right="1440" w:bottom="1440" w:gutter="0" w:footer="0" w:header="0"/>
        </w:sectPr>
      </w:pPr>
    </w:p>
    <w:bookmarkStart w:id="8" w:name="page9"/>
    <w:bookmarkEnd w:id="8"/>
    <w:p>
      <w:pPr>
        <w:ind w:right="3079"/>
        <w:spacing w:after="0" w:line="242" w:lineRule="auto"/>
        <w:rPr>
          <w:sz w:val="20"/>
          <w:szCs w:val="20"/>
          <w:color w:val="auto"/>
        </w:rPr>
      </w:pPr>
      <w:r>
        <w:rPr>
          <w:rFonts w:ascii="Courier New" w:cs="Courier New" w:eastAsia="Courier New" w:hAnsi="Courier New"/>
          <w:sz w:val="15"/>
          <w:szCs w:val="15"/>
          <w:color w:val="auto"/>
        </w:rPr>
        <w:t>that our negotiations will be successful. If we are unable to extend the term of this agreement or enter into a new agreement, we will have to find a replacement to perform this research or we will have to perform this research ourselves. In either case, we may experience delay and additional expense in connection with this research effort.</w:t>
      </w:r>
    </w:p>
    <w:p>
      <w:pPr>
        <w:spacing w:after="0" w:line="347"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incurred $124,237,900 in operating losses through September 30, 2000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354" w:lineRule="exact"/>
        <w:rPr>
          <w:sz w:val="20"/>
          <w:szCs w:val="20"/>
          <w:color w:val="auto"/>
        </w:rPr>
      </w:pPr>
    </w:p>
    <w:p>
      <w:pPr>
        <w:ind w:right="3879" w:firstLine="358"/>
        <w:spacing w:after="0"/>
        <w:rPr>
          <w:sz w:val="20"/>
          <w:szCs w:val="20"/>
          <w:color w:val="auto"/>
        </w:rPr>
      </w:pPr>
      <w:r>
        <w:rPr>
          <w:rFonts w:ascii="Courier New" w:cs="Courier New" w:eastAsia="Courier New" w:hAnsi="Courier New"/>
          <w:sz w:val="15"/>
          <w:szCs w:val="15"/>
          <w:color w:val="auto"/>
        </w:rPr>
        <w:t>WE DO NOT ANTICIPATE RECEIVING FUTURE REVENUES FROM THE SALE OF OUR ENCAPSULATED CELL TECHNOLOGY.</w:t>
      </w:r>
    </w:p>
    <w:p>
      <w:pPr>
        <w:spacing w:after="0" w:line="176" w:lineRule="exact"/>
        <w:rPr>
          <w:sz w:val="20"/>
          <w:szCs w:val="20"/>
          <w:color w:val="auto"/>
        </w:rPr>
      </w:pPr>
    </w:p>
    <w:p>
      <w:pPr>
        <w:ind w:right="3159" w:firstLine="358"/>
        <w:spacing w:after="0" w:line="265" w:lineRule="auto"/>
        <w:rPr>
          <w:sz w:val="20"/>
          <w:szCs w:val="20"/>
          <w:color w:val="auto"/>
        </w:rPr>
      </w:pPr>
      <w:r>
        <w:rPr>
          <w:rFonts w:ascii="Courier New" w:cs="Courier New" w:eastAsia="Courier New" w:hAnsi="Courier New"/>
          <w:sz w:val="14"/>
          <w:szCs w:val="14"/>
          <w:color w:val="auto"/>
        </w:rPr>
        <w:t>In December 1999, we sold our encapsulated cell therapy technology to Neurotech S.A. While under the terms of the sale we may receive royalty and other payments from Neurotech under certain circumstances, we do not anticipate receiving any material payments from Neurotech in the near future, if at all.</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8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9" w:name="page10"/>
    <w:bookmarkEnd w:id="9"/>
    <w:p>
      <w:pPr>
        <w:ind w:right="3159" w:firstLine="358"/>
        <w:spacing w:after="0" w:line="241"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6"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the Company.</w:t>
      </w:r>
    </w:p>
    <w:p>
      <w:pPr>
        <w:spacing w:after="0" w:line="161"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6"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10" w:name="page11"/>
    <w:bookmarkEnd w:id="10"/>
    <w:p>
      <w:pPr>
        <w:ind w:right="3079"/>
        <w:spacing w:after="0" w:line="242" w:lineRule="auto"/>
        <w:rPr>
          <w:sz w:val="20"/>
          <w:szCs w:val="20"/>
          <w:color w:val="auto"/>
        </w:rPr>
      </w:pPr>
      <w:r>
        <w:rPr>
          <w:rFonts w:ascii="Courier New" w:cs="Courier New" w:eastAsia="Courier New" w:hAnsi="Courier New"/>
          <w:sz w:val="15"/>
          <w:szCs w:val="15"/>
          <w:color w:val="auto"/>
        </w:rPr>
        <w:t>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180"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6" w:lineRule="exact"/>
        <w:rPr>
          <w:sz w:val="20"/>
          <w:szCs w:val="20"/>
          <w:color w:val="auto"/>
        </w:rPr>
      </w:pPr>
    </w:p>
    <w:p>
      <w:pPr>
        <w:ind w:right="3699" w:firstLine="358"/>
        <w:spacing w:after="0"/>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 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3" w:right="1440" w:bottom="1440" w:gutter="0" w:footer="0" w:header="0"/>
        </w:sectPr>
      </w:pPr>
    </w:p>
    <w:bookmarkStart w:id="11" w:name="page12"/>
    <w:bookmarkEnd w:id="11"/>
    <w:p>
      <w:pPr>
        <w:ind w:right="3079"/>
        <w:spacing w:after="0" w:line="242" w:lineRule="auto"/>
        <w:rPr>
          <w:sz w:val="20"/>
          <w:szCs w:val="20"/>
          <w:color w:val="auto"/>
        </w:rPr>
      </w:pPr>
      <w:r>
        <w:rPr>
          <w:rFonts w:ascii="Courier New" w:cs="Courier New" w:eastAsia="Courier New" w:hAnsi="Courier New"/>
          <w:sz w:val="15"/>
          <w:szCs w:val="15"/>
          <w:color w:val="auto"/>
        </w:rPr>
        <w:t>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81"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September 22, 2000 we announced that George Dunbar, our acting President and Chief Executive Officer, would be phasing out his service. Mr. Dunbar will continue in his position on a reduced time basis during this transition period. We are actively seeking to hire a permanent chief executive officer, but we can give no assurance that we will be able to find a candidate possessing the necessary qualifications. If we are unable to hire and retain a qualified chief executive officer, our business and operations could suffer materially.</w:t>
      </w:r>
    </w:p>
    <w:p>
      <w:pPr>
        <w:spacing w:after="0" w:line="164"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3" w:right="1440" w:bottom="1440" w:gutter="0" w:footer="0" w:header="0"/>
        </w:sectPr>
      </w:pPr>
    </w:p>
    <w:bookmarkStart w:id="12" w:name="page13"/>
    <w:bookmarkEnd w:id="12"/>
    <w:p>
      <w:pPr>
        <w:ind w:left="440" w:right="3079" w:hanging="88"/>
        <w:spacing w:after="0"/>
        <w:rPr>
          <w:sz w:val="20"/>
          <w:szCs w:val="20"/>
          <w:color w:val="auto"/>
        </w:rPr>
      </w:pPr>
      <w:r>
        <w:rPr>
          <w:rFonts w:ascii="Courier New" w:cs="Courier New" w:eastAsia="Courier New" w:hAnsi="Courier New"/>
          <w:sz w:val="15"/>
          <w:szCs w:val="15"/>
          <w:color w:val="auto"/>
        </w:rPr>
        <w:t>OUR STOCK PRICE MAY BE VOLATILE AND THIS VOLATILITY COULD RESULT IN LAWSUITS OR MAKE IT DIFFICULT TO RAISE CAPITAL.</w:t>
      </w:r>
    </w:p>
    <w:p>
      <w:pPr>
        <w:spacing w:after="0" w:line="176" w:lineRule="exact"/>
        <w:rPr>
          <w:sz w:val="20"/>
          <w:szCs w:val="20"/>
          <w:color w:val="auto"/>
        </w:rPr>
      </w:pPr>
    </w:p>
    <w:p>
      <w:pPr>
        <w:jc w:val="both"/>
        <w:ind w:right="3339" w:firstLine="358"/>
        <w:spacing w:after="0" w:line="242" w:lineRule="auto"/>
        <w:rPr>
          <w:sz w:val="20"/>
          <w:szCs w:val="20"/>
          <w:color w:val="auto"/>
        </w:rPr>
      </w:pPr>
      <w:r>
        <w:rPr>
          <w:rFonts w:ascii="Courier New" w:cs="Courier New" w:eastAsia="Courier New" w:hAnsi="Courier New"/>
          <w:sz w:val="15"/>
          <w:szCs w:val="15"/>
          <w:color w:val="auto"/>
        </w:rPr>
        <w:t>The market price for our common stock has been volatile and could decline below the offering price for the shares. We believe that the market price for our common stock could fluctuate substantially due to some or all of the risk factors enumerated above.</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stock market has recently experienced extreme price and volume fluctuations. These fluctuations have especially affected the market price of the stock of many high technology and health care-related companies. Such fluctuations have often been unrelated to the operating performance of these companies. Nonetheless, these broad market fluctuations may negatively affect the market price of our common stock. In the past, companies that have experienced volatility in the market price of their stock have been the objects of securities class action litigation. If we were the object of securities class action litigation, we could incur material costs and suffer a diversion of our management's attention and resources. In addition, volatility in our stock price may make it difficult for us to obtain additional capital resources through financings on terms acceptable to us.</w:t>
      </w:r>
    </w:p>
    <w:p>
      <w:pPr>
        <w:spacing w:after="0" w:line="180"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EVENTS WITH RESPECT TO OUR SHARE CAPITAL COULD CAUSE THE PRICE OF OUR COMMON STOCK TO DECLINE.</w:t>
      </w:r>
    </w:p>
    <w:p>
      <w:pPr>
        <w:spacing w:after="0" w:line="34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Sales of substantial amounts of our common stock on the open market, or the availability of such shares for sale, could adversely affect the price of our common stock. In particular, as of October 31, 2000, we had outstanding stock options to purchase approximately 2,566,530 shares of common stock, at an average exercise price of approximately $4.402 per share, subject to adjustment in certain circumstances. Of this total, options covering approximately 941,309 shares are currently exercisable at an average exercise price of approximately $4.742 per share.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3" w:right="1440" w:bottom="1440" w:gutter="0" w:footer="0" w:header="0"/>
        </w:sectPr>
      </w:pPr>
    </w:p>
    <w:bookmarkStart w:id="13" w:name="page14"/>
    <w:bookmarkEnd w:id="13"/>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INDUSTRY AND MARKET DATA</w:t>
      </w:r>
    </w:p>
    <w:p>
      <w:pPr>
        <w:spacing w:after="0" w:line="176"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proceeds from the sale of the shares offered pursuant to this prospectus.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in the foreseeable future.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1" w:right="1440" w:bottom="1440" w:gutter="0" w:footer="0" w:header="0"/>
        </w:sectPr>
      </w:pPr>
    </w:p>
    <w:bookmarkStart w:id="14" w:name="page15"/>
    <w:bookmarkEnd w:id="14"/>
    <w:p>
      <w:pPr>
        <w:ind w:left="2940"/>
        <w:spacing w:after="0"/>
        <w:rPr>
          <w:sz w:val="20"/>
          <w:szCs w:val="20"/>
          <w:color w:val="auto"/>
        </w:rPr>
      </w:pPr>
      <w:r>
        <w:rPr>
          <w:rFonts w:ascii="Courier New" w:cs="Courier New" w:eastAsia="Courier New" w:hAnsi="Courier New"/>
          <w:sz w:val="15"/>
          <w:szCs w:val="15"/>
          <w:color w:val="auto"/>
        </w:rPr>
        <w:t>CAPITALIZATION</w:t>
      </w:r>
    </w:p>
    <w:p>
      <w:pPr>
        <w:spacing w:after="0" w:line="348" w:lineRule="exact"/>
        <w:rPr>
          <w:sz w:val="20"/>
          <w:szCs w:val="20"/>
          <w:color w:val="auto"/>
        </w:rPr>
      </w:pPr>
    </w:p>
    <w:p>
      <w:pPr>
        <w:ind w:right="3959" w:firstLine="358"/>
        <w:spacing w:after="0"/>
        <w:rPr>
          <w:sz w:val="20"/>
          <w:szCs w:val="20"/>
          <w:color w:val="auto"/>
        </w:rPr>
      </w:pPr>
      <w:r>
        <w:rPr>
          <w:rFonts w:ascii="Courier New" w:cs="Courier New" w:eastAsia="Courier New" w:hAnsi="Courier New"/>
          <w:sz w:val="15"/>
          <w:szCs w:val="15"/>
          <w:color w:val="auto"/>
        </w:rPr>
        <w:t>The following table presents our consolidated capitalization as of September 30, 2000. This table excludes</w:t>
      </w:r>
    </w:p>
    <w:p>
      <w:pPr>
        <w:spacing w:after="0" w:line="200" w:lineRule="exact"/>
        <w:rPr>
          <w:sz w:val="20"/>
          <w:szCs w:val="20"/>
          <w:color w:val="auto"/>
        </w:rPr>
      </w:pPr>
    </w:p>
    <w:p>
      <w:pPr>
        <w:spacing w:after="0" w:line="320" w:lineRule="exact"/>
        <w:rPr>
          <w:sz w:val="20"/>
          <w:szCs w:val="20"/>
          <w:color w:val="auto"/>
        </w:rPr>
      </w:pPr>
    </w:p>
    <w:p>
      <w:pPr>
        <w:ind w:left="520" w:right="30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2,797,518 shares of common stock issuable upon the exercise of outstanding stock options and warrants as follows: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700" w:right="351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2000, 2,501,031 shares of common stock upon the exercise of stock options pursuant to our stock option plans at a weighted average price of $4.209 per share.</w:t>
      </w:r>
    </w:p>
    <w:p>
      <w:pPr>
        <w:spacing w:after="0" w:line="348" w:lineRule="exact"/>
        <w:rPr>
          <w:rFonts w:ascii="Courier New" w:cs="Courier New" w:eastAsia="Courier New" w:hAnsi="Courier New"/>
          <w:sz w:val="15"/>
          <w:szCs w:val="15"/>
          <w:color w:val="auto"/>
        </w:rPr>
      </w:pPr>
    </w:p>
    <w:p>
      <w:pPr>
        <w:ind w:left="700" w:right="33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101,587 shares of common stock upon the exercise of a warrant held by Millennium Partners, L.P in conjunction with the aforementioned August 3, 2000 financing at an exercise price of $4.725 per share.</w:t>
      </w:r>
    </w:p>
    <w:p>
      <w:pPr>
        <w:spacing w:after="0" w:line="176" w:lineRule="exact"/>
        <w:rPr>
          <w:rFonts w:ascii="Courier New" w:cs="Courier New" w:eastAsia="Courier New" w:hAnsi="Courier New"/>
          <w:sz w:val="15"/>
          <w:szCs w:val="15"/>
          <w:color w:val="auto"/>
        </w:rPr>
      </w:pPr>
    </w:p>
    <w:p>
      <w:pPr>
        <w:ind w:left="700" w:right="343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19,900 shares of common stock upon the exercise of a warrant held by Millennium Partners, L.P. in conjunction with the aforementioned August 30, 2000 financing at an exercise price of $6.03 per share.</w:t>
      </w:r>
    </w:p>
    <w:p>
      <w:pPr>
        <w:spacing w:after="0" w:line="176" w:lineRule="exact"/>
        <w:rPr>
          <w:rFonts w:ascii="Courier New" w:cs="Courier New" w:eastAsia="Courier New" w:hAnsi="Courier New"/>
          <w:sz w:val="15"/>
          <w:szCs w:val="15"/>
          <w:color w:val="auto"/>
        </w:rPr>
      </w:pPr>
    </w:p>
    <w:p>
      <w:pPr>
        <w:jc w:val="both"/>
        <w:ind w:left="700" w:right="3159" w:hanging="261"/>
        <w:spacing w:after="0" w:line="267" w:lineRule="auto"/>
        <w:tabs>
          <w:tab w:leader="none" w:pos="70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100,000 shares of common stock upon the exercise of warrants granted to May Davis Group, Inc. and four of its affiliates in connection with the aforementioned financing at an exercise price of $5.0375 per share.</w:t>
      </w:r>
    </w:p>
    <w:p>
      <w:pPr>
        <w:spacing w:after="0" w:line="158" w:lineRule="exact"/>
        <w:rPr>
          <w:rFonts w:ascii="Courier New" w:cs="Courier New" w:eastAsia="Courier New" w:hAnsi="Courier New"/>
          <w:sz w:val="14"/>
          <w:szCs w:val="14"/>
          <w:color w:val="auto"/>
        </w:rPr>
      </w:pPr>
    </w:p>
    <w:p>
      <w:pPr>
        <w:ind w:left="700" w:right="3159" w:hanging="261"/>
        <w:spacing w:after="0" w:line="241" w:lineRule="auto"/>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upon the exercise of warrants at $6.58125 per share held by holders of our 6% cumulative convertible preferred stock purchased on April 13, 2000 for $1,500,000.</w:t>
      </w:r>
    </w:p>
    <w:p>
      <w:pPr>
        <w:spacing w:after="0" w:line="176"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under certain circumstances for holders of our 6% cumulative convertible preferred stock to acquire up to a total of 1,126 additional shares of our 6% cumulative convertible preferred stock, which is convertible at the option of the holders into common stock at $6.33 per share subject to customary antidilution protection.</w:t>
      </w:r>
    </w:p>
    <w:p>
      <w:pPr>
        <w:spacing w:after="0" w:line="175" w:lineRule="exact"/>
        <w:rPr>
          <w:rFonts w:ascii="Courier New" w:cs="Courier New" w:eastAsia="Courier New" w:hAnsi="Courier New"/>
          <w:sz w:val="15"/>
          <w:szCs w:val="15"/>
          <w:color w:val="auto"/>
        </w:rPr>
      </w:pPr>
    </w:p>
    <w:p>
      <w:pPr>
        <w:ind w:left="520" w:right="3779" w:hanging="170"/>
        <w:spacing w:after="0"/>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up to an additional $2,000,000 of common stock through August 3, 2001.</w:t>
      </w:r>
    </w:p>
    <w:p>
      <w:pPr>
        <w:spacing w:after="0" w:line="176" w:lineRule="exact"/>
        <w:rPr>
          <w:rFonts w:ascii="Courier New" w:cs="Courier New" w:eastAsia="Courier New" w:hAnsi="Courier New"/>
          <w:sz w:val="15"/>
          <w:szCs w:val="15"/>
          <w:color w:val="auto"/>
        </w:rPr>
      </w:pPr>
    </w:p>
    <w:p>
      <w:pPr>
        <w:ind w:left="520" w:right="3159" w:hanging="170"/>
        <w:spacing w:after="0" w:line="241" w:lineRule="auto"/>
        <w:tabs>
          <w:tab w:leader="none" w:pos="5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preferred shares into 397,878 shares of common stock at $3.77 per share.</w:t>
      </w:r>
    </w:p>
    <w:p>
      <w:pPr>
        <w:spacing w:after="0" w:line="176" w:lineRule="exact"/>
        <w:rPr>
          <w:sz w:val="20"/>
          <w:szCs w:val="20"/>
          <w:color w:val="auto"/>
        </w:rPr>
      </w:pPr>
    </w:p>
    <w:p>
      <w:pPr>
        <w:jc w:val="both"/>
        <w:ind w:right="3159" w:firstLine="358"/>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5440" w:type="dxa"/>
            <w:vAlign w:val="bottom"/>
          </w:tcPr>
          <w:p>
            <w:pPr>
              <w:jc w:val="right"/>
              <w:ind w:right="3485"/>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authorized, 20,881,812 shares issued....................</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208,818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134,698,668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(124,237,900)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27,204,333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(997,664)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37,126,251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5" w:name="page16"/>
    <w:bookmarkEnd w:id="15"/>
    <w:p>
      <w:pPr>
        <w:jc w:val="center"/>
        <w:ind w:right="3079"/>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This offering is for sales of stock by our existing stockholders on a continuous or delayed basis in the future. Sales of common stock by stockholders will not result in any substantial change to the net tangible book value per share before and after the distribution of shares by the selling stockholders. There will be no change in net tangible book value per share attributable to cash payments made by purchasers of the shares being offered. Prospective investors should be aware, however, that the price of our shares may not bear any rational relationship to net tangible book value per share.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61" w:right="1440" w:bottom="1440" w:gutter="0" w:footer="0" w:header="0"/>
        </w:sectPr>
      </w:pPr>
    </w:p>
    <w:bookmarkStart w:id="16" w:name="page17"/>
    <w:bookmarkEnd w:id="16"/>
    <w:p>
      <w:pPr>
        <w:ind w:left="196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consolidated historical financial data presented below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 1996, 1997, 1998, and 1999 and for the years then ended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derived from our consolidated financial statements, which have been audited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 our independent auditors. The selected consolidated financial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as of September 30, 1999 and 2000, and for the nine months then ended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derived from our unaudited financial statement. In the opinion of management,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unaudited financial statements have been prepared on the same basis 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audited consolidated financial statements and include all adjustments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(consisting only of normal recurring adjustments) necessary for a fair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presentation of the financial position and results of operations for such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The selected consolidated financial data for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are not necessarily indicative of the results that may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for the year ended December 31, 2000 or any other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12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86"/>
              </w:rPr>
              <w:t>----------------------------------------------------</w:t>
            </w: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120" w:type="dxa"/>
            <w:vAlign w:val="bottom"/>
          </w:tcPr>
          <w:p>
            <w:pPr>
              <w:spacing w:after="0"/>
              <w:rPr>
                <w:sz w:val="14"/>
                <w:szCs w:val="14"/>
                <w:color w:val="auto"/>
              </w:rPr>
            </w:pP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7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1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Revenue from collaborative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agreements......................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$11,761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$ 10,617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expenses........................</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14,730</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17,130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9,991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8,432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Acquired research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development.....................</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8,344</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ECT wind-down and corporate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relocation expenses.............</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4,078</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769</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$(8,891)</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6"/>
              </w:rPr>
              <w:t>$(13,759)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$(18,114)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$(12,628)</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$(10,484)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$(4,865)</w:t>
            </w:r>
          </w:p>
        </w:tc>
      </w:tr>
      <w:tr>
        <w:trPr>
          <w:trHeight w:val="172"/>
        </w:trPr>
        <w:tc>
          <w:tcPr>
            <w:tcW w:w="31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 (0.69)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(0.89)</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(0.26)</w:t>
            </w: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Shares used in computing basic and</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 net loss per share......</w:t>
            </w:r>
          </w:p>
        </w:tc>
        <w:tc>
          <w:tcPr>
            <w:tcW w:w="1080" w:type="dxa"/>
            <w:vAlign w:val="bottom"/>
          </w:tcPr>
          <w:p>
            <w:pPr>
              <w:jc w:val="center"/>
              <w:ind w:right="111"/>
              <w:spacing w:after="0"/>
              <w:rPr>
                <w:sz w:val="20"/>
                <w:szCs w:val="20"/>
                <w:color w:val="auto"/>
              </w:rPr>
            </w:pPr>
            <w:r>
              <w:rPr>
                <w:rFonts w:ascii="Courier New" w:cs="Courier New" w:eastAsia="Courier New" w:hAnsi="Courier New"/>
                <w:sz w:val="15"/>
                <w:szCs w:val="15"/>
                <w:color w:val="auto"/>
                <w:w w:val="99"/>
              </w:rPr>
              <w:t>12,799</w:t>
            </w:r>
          </w:p>
        </w:tc>
        <w:tc>
          <w:tcPr>
            <w:tcW w:w="12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15,430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16,704</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18,291</w:t>
            </w:r>
          </w:p>
        </w:tc>
        <w:tc>
          <w:tcPr>
            <w:tcW w:w="2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18,561</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19,683</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provides a summary of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DECEMBER 31,</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3480" w:type="dxa"/>
            <w:vAlign w:val="bottom"/>
          </w:tcPr>
          <w:p>
            <w:pPr>
              <w:spacing w:after="0"/>
              <w:rPr>
                <w:sz w:val="14"/>
                <w:szCs w:val="14"/>
                <w:color w:val="auto"/>
              </w:rPr>
            </w:pPr>
          </w:p>
        </w:tc>
        <w:tc>
          <w:tcPr>
            <w:tcW w:w="2280" w:type="dxa"/>
            <w:vAlign w:val="bottom"/>
            <w:gridSpan w:val="2"/>
          </w:tcPr>
          <w:p>
            <w:pPr>
              <w:ind w:left="440"/>
              <w:spacing w:after="0"/>
              <w:rPr>
                <w:sz w:val="20"/>
                <w:szCs w:val="20"/>
                <w:color w:val="auto"/>
              </w:rPr>
            </w:pPr>
            <w:r>
              <w:rPr>
                <w:rFonts w:ascii="Courier New" w:cs="Courier New" w:eastAsia="Courier New" w:hAnsi="Courier New"/>
                <w:sz w:val="7"/>
                <w:szCs w:val="7"/>
                <w:color w:val="auto"/>
                <w:w w:val="83"/>
              </w:rPr>
              <w:t>----------------------------------------------------</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440" w:type="dxa"/>
            <w:vAlign w:val="bottom"/>
          </w:tcPr>
          <w:p>
            <w:pPr>
              <w:jc w:val="right"/>
              <w:ind w:right="390"/>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80" w:type="dxa"/>
            <w:vAlign w:val="bottom"/>
          </w:tcPr>
          <w:p>
            <w:pPr>
              <w:spacing w:after="0"/>
              <w:rPr>
                <w:sz w:val="14"/>
                <w:szCs w:val="14"/>
                <w:color w:val="auto"/>
              </w:rPr>
            </w:pPr>
          </w:p>
        </w:tc>
        <w:tc>
          <w:tcPr>
            <w:tcW w:w="14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cash equivalents and marketable</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securities..............................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$44,192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$42,607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$29,050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$17,386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$ 4,760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$ 7,247</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Restricted investments....................</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27,204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Total assets..............................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56,808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44,301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32,866</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15,781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41,632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debt, including capitalized</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w w:val="91"/>
              </w:rPr>
              <w:t>leases..................................</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5,441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8,223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2,937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2,692</w:t>
            </w:r>
          </w:p>
        </w:tc>
      </w:tr>
      <w:tr>
        <w:trPr>
          <w:trHeight w:val="172"/>
        </w:trPr>
        <w:tc>
          <w:tcPr>
            <w:tcW w:w="492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8,159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5,249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1"/>
              </w:rPr>
              <w:t>Stockholders' equity......................</w:t>
            </w:r>
          </w:p>
        </w:tc>
        <w:tc>
          <w:tcPr>
            <w:tcW w:w="1440" w:type="dxa"/>
            <w:vAlign w:val="bottom"/>
          </w:tcPr>
          <w:p>
            <w:pPr>
              <w:jc w:val="right"/>
              <w:ind w:right="290"/>
              <w:spacing w:after="0"/>
              <w:rPr>
                <w:sz w:val="20"/>
                <w:szCs w:val="20"/>
                <w:color w:val="auto"/>
              </w:rPr>
            </w:pPr>
            <w:r>
              <w:rPr>
                <w:rFonts w:ascii="Courier New" w:cs="Courier New" w:eastAsia="Courier New" w:hAnsi="Courier New"/>
                <w:sz w:val="15"/>
                <w:szCs w:val="15"/>
                <w:color w:val="auto"/>
              </w:rPr>
              <w:t>45,391</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28,900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17,897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3,506</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37,126</w:t>
            </w:r>
          </w:p>
        </w:tc>
      </w:tr>
      <w:tr>
        <w:trPr>
          <w:trHeight w:val="688"/>
        </w:trPr>
        <w:tc>
          <w:tcPr>
            <w:tcW w:w="3480" w:type="dxa"/>
            <w:vAlign w:val="bottom"/>
          </w:tcPr>
          <w:p>
            <w:pPr>
              <w:spacing w:after="0"/>
              <w:rPr>
                <w:sz w:val="24"/>
                <w:szCs w:val="24"/>
                <w:color w:val="auto"/>
              </w:rPr>
            </w:pPr>
          </w:p>
        </w:tc>
        <w:tc>
          <w:tcPr>
            <w:tcW w:w="1440" w:type="dxa"/>
            <w:vAlign w:val="bottom"/>
          </w:tcPr>
          <w:p>
            <w:pPr>
              <w:jc w:val="right"/>
              <w:ind w:right="1190"/>
              <w:spacing w:after="0"/>
              <w:rPr>
                <w:sz w:val="20"/>
                <w:szCs w:val="20"/>
                <w:color w:val="auto"/>
              </w:rPr>
            </w:pPr>
            <w:r>
              <w:rPr>
                <w:rFonts w:ascii="Courier New" w:cs="Courier New" w:eastAsia="Courier New" w:hAnsi="Courier New"/>
                <w:sz w:val="15"/>
                <w:szCs w:val="15"/>
                <w:color w:val="auto"/>
                <w:w w:val="88"/>
              </w:rPr>
              <w:t>14</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The following discussion of our financial condition and results of operations for the nine months ended September 30, 2000 and 1999 and the years ended December 31, 1999, 1998, and 1997 should be read in conjunction with our consolidated financial statements and notes to those statements and other financial information included elsewhere in this prospectus.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79"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0" w:lineRule="exact"/>
        <w:rPr>
          <w:sz w:val="20"/>
          <w:szCs w:val="20"/>
          <w:color w:val="auto"/>
        </w:rPr>
      </w:pPr>
    </w:p>
    <w:p>
      <w:pPr>
        <w:ind w:right="3339" w:firstLine="358"/>
        <w:spacing w:after="0" w:line="242"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3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the second quarter 2000 we realized a $1,427,686 gain in connection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our investment in Modex Therapeutics Ltd ("Modex"), a Swiss biotechnology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that completed an initial public offering on June 23, 2000.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we owned 126,193 shares with an estimated fair value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$27,204,333, based on the per share price of $215.58 which we converted from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372.00 Swiss francs on that date. On October 31, 2000 the market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was 329.50 Swiss Francs,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1" w:right="1440" w:bottom="1440" w:gutter="0" w:footer="0" w:header="0"/>
        </w:sectPr>
      </w:pPr>
    </w:p>
    <w:bookmarkStart w:id="18" w:name="page19"/>
    <w:bookmarkEnd w:id="18"/>
    <w:p>
      <w:pPr>
        <w:ind w:right="3159"/>
        <w:spacing w:after="0"/>
        <w:rPr>
          <w:sz w:val="20"/>
          <w:szCs w:val="20"/>
          <w:color w:val="auto"/>
        </w:rPr>
      </w:pPr>
      <w:r>
        <w:rPr>
          <w:rFonts w:ascii="Courier New" w:cs="Courier New" w:eastAsia="Courier New" w:hAnsi="Courier New"/>
          <w:sz w:val="15"/>
          <w:szCs w:val="15"/>
          <w:color w:val="auto"/>
        </w:rPr>
        <w:t>which converts to $183.28 and results in an estimated fair value of $23,128,598 for the Company's holdings.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$3,350,101 for the nine months ended September 30, 2000, compared with $8,432,262 for the same period in 1999. The decrease of $5,634,384, or 67% from 1999 to 2000 is primarily attributable to the wind-down of research activities relating to the ECT.</w:t>
      </w:r>
    </w:p>
    <w:p>
      <w:pPr>
        <w:spacing w:after="0" w:line="200" w:lineRule="exact"/>
        <w:rPr>
          <w:sz w:val="20"/>
          <w:szCs w:val="20"/>
          <w:color w:val="auto"/>
        </w:rPr>
      </w:pPr>
    </w:p>
    <w:p>
      <w:pPr>
        <w:spacing w:after="0" w:line="31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General and administrative expenses were $2,172,137 for the nine months ended September 30, 2000, compared with $3,195,672 for the same period in 1999. The decrease of $1,023,535, or 32%, from 1999 to 2000 was primarily attributable to lower payroll costs (approximately $882,000) resulting from the restructuring of administrative operations and to the establishment of a smaller corporate office in California (approximately $136,000).</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for the nine months ended September 30, 2000 and 1999 was $768,733 and $4,078,034 respectively. In 1999 we had created a reserve of $1,634,569 for wind-down expenses related to the first half of 2000.</w:t>
      </w: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 income for the nine months ended September 30, 2000 and 1999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$218,480 and $504,114 respectively. The decrease in interest income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lower average investment balances during such period.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was $209,287 for the nine months ended September 30,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with $236,836 for the same period in 1999. The decrease in 2000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lower outstanding debt and capital lease balances in 2000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1999.</w:t>
      </w:r>
    </w:p>
    <w:p>
      <w:pPr>
        <w:spacing w:after="0" w:line="200" w:lineRule="exact"/>
        <w:rPr>
          <w:sz w:val="20"/>
          <w:szCs w:val="20"/>
          <w:color w:val="auto"/>
        </w:rPr>
      </w:pPr>
    </w:p>
    <w:p>
      <w:pPr>
        <w:spacing w:after="0" w:line="31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($0.25) per share, as compared to net loss of $10,483,760 or ($0.56) per share, for the comparable period in 1999. The decrease in net loss of $5,618,570 or 54% from the same period in 1999 was primarily attributable to the wind-down of research activities relating to the ECT and reflects a gain of $1,427,686 in connection with our investment in Modex. We (then known as CytoTherapeutics, Inc.) were one of the founders of Modex, a Swiss biotherapeutics company established in 1996 to pursue encapsulated cell technologies related to our former programs. After Modex' Initial Public offering on the Swiss Neue Market on June 23, 2000 and our sale of 23,807 shares, we own 126,193 shares of Modex common stock. The IPO price was 168.00 Swiss Francs, and the share price on September 30 was 372.00 Swiss Francs. On October 31, 2000 the market price was 329.50 Swiss Francs. The shares are subject to a lockup for 6 months from the date of the IPO.</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1998 AND 1997</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Revenues from collaborative agreements totaled $5,022,000, $8,803,000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$10,617,000 for the years ending December 31, 1999, 1998 and 1997, respectively.</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earned revenues primarily from a Development, Marketing and License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AstraZeneca Group plc, which we signed in March 1995. The decrease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1998 to 1999 resulted primarily from the June 1999 termination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AstraZeneca Agreement. 1997 revenues included a $3,000,000 milestone payment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AstraZeneca related to the Phase II clinical trials for an ECT product.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Research and development expenses totaled $9,984,000 in 1999, as compared to $17,659,000 in 1998 and $18,604,000 in 1997. The decrease of $7,668,000, or 43%, from 1998 to 1999 was primarily attributable to the wind-down of research activities relating to the ECT, precipitated by termination of the AstraZeneca Agreement. The decrease of $945,000, or 5%, from 1997 to 1998 was primarily attributable to a reduction in spending on research agreements and a reduction in research and development personnel.</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Acquired research and development consists of a one-time charge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$8,344,000 related to the acquisition of StemCells California, Inc., in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Commercialization of this technology will require significant incremental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 over a number of years. With the recent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9" w:name="page20"/>
    <w:bookmarkEnd w:id="19"/>
    <w:p>
      <w:pPr>
        <w:ind w:right="3079"/>
        <w:spacing w:after="0" w:line="265" w:lineRule="auto"/>
        <w:rPr>
          <w:sz w:val="20"/>
          <w:szCs w:val="20"/>
          <w:color w:val="auto"/>
        </w:rPr>
      </w:pPr>
      <w:r>
        <w:rPr>
          <w:rFonts w:ascii="Courier New" w:cs="Courier New" w:eastAsia="Courier New" w:hAnsi="Courier New"/>
          <w:sz w:val="14"/>
          <w:szCs w:val="14"/>
          <w:color w:val="auto"/>
        </w:rPr>
        <w:t>completion of the restructuring of our research operations, we are now focused solely on the research and development of our platform of stem cell technologies, which encompasses the technology acquired upon the acquisition of StemCells California, Inc. and related technology we have developed or licensed.</w:t>
      </w:r>
    </w:p>
    <w:p>
      <w:pPr>
        <w:spacing w:after="0" w:line="15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General and administrative expenses were $4,927,303 for the year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compared with $4,603,000 in 1998 and $6,158,000 in 1997.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general administrative expenses were positively impacted by the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facility costs that were included in wind-down ($239,000), reduction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patents and intangible assets of approximately $338,000, as well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reduced activities and related personnel costs estimated at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that were not incurred. This was due to the wind-down of our 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programs and relocation of our headquarters in October 1999. The reduction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$1,555,000, or 25%, from 1997 to 1998 was primarily attributable to a reduction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legal fees, recruiting and relocation expenses, as well as a reduction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Wind-down and relocation expenses totaled $6,047,806 for the year ended December 31, 1999; no such expenses were incurred in 1998 and 1997. These expenses relate to the wind-down of our encapsulated cell technology research and our other Rhode Island operations the transfer of our corporate headquarters to Sunnyvale, California.</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They include accruals of approximately $1,554,000 for employee severance costs, $1,858,000 in losses and reserves for the write-down of related patents and fixed assets, $1,172,000 for our costs of settlement of a 1989 funding agreement with the Rhode Island Partnership for Science and Technology, $702,000 of estimated additional carrying costs through disposition of the Rhode Island facilities, and other related expenses totaling $762,000.</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Interest income for the years ended December 31, 1999, 1998 and 1997 totaled $564,000, $1,254,000 and $1,931,000, respectively. The average cash and investment balances were $10,663,000, $21,795,000 and $33,343,000 in 1999, 1998 and 1997, respectively. The decrease in interest income from 1997 to 1998 to 1999 was attributable to lower average balances.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1999, interest expense was $335,000, compared with $472,000 in 1998 and $438,000 in 1997. The decrease from 1998 to 1999 was attributable to lower outstanding debt and capital lease balances. The increase from 1997 to 1998 was primarily attributable to capitalization of $210,000 of interest on the new facility in 1997.</w:t>
      </w:r>
    </w:p>
    <w:p>
      <w:pPr>
        <w:spacing w:after="0" w:line="175"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In October 1997, we recognized a gain in the amount of $3,387,000 related to the sale of 50 percent of our interest in Modex Therapeutics Ltd.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net loss in 1999, 1998 and 1997 was $15,709,000, $12,628,000, and $18,114,000, respectively. The loss per share was $0.84, $0.69 and $1.08 in 1999, 1998 and 1997, respectively. The increase from 1998 to 1999 is primarily attributable to the elimination of revenue from the AstraZeneca Agreement, which was terminated in June 1999, as well as expenses related to the wind-down of our ECT research and our other Rhode Island operations, the transfer of our corporate headquarters to Sunnyvale, California and an accrual of approximately $1,172,000 for our estimate of the costs of settlement of the funding agreement with RIPSAT. The decrease from 1997 to 1998 was attributable to a one-time charge of $8,344,000 for acquired research and development related to the purchase of StemCells California, Inc. offset by the $3,387,000 gain on a partial sale of our interest in Modex in 1997.</w:t>
      </w:r>
    </w:p>
    <w:p>
      <w:pPr>
        <w:spacing w:after="0" w:line="180" w:lineRule="exact"/>
        <w:rPr>
          <w:sz w:val="20"/>
          <w:szCs w:val="20"/>
          <w:color w:val="auto"/>
        </w:rPr>
      </w:pPr>
    </w:p>
    <w:p>
      <w:pPr>
        <w:jc w:val="both"/>
        <w:ind w:right="3339" w:firstLine="358"/>
        <w:spacing w:after="0" w:line="265" w:lineRule="auto"/>
        <w:rPr>
          <w:sz w:val="20"/>
          <w:szCs w:val="20"/>
          <w:color w:val="auto"/>
        </w:rPr>
      </w:pPr>
      <w:r>
        <w:rPr>
          <w:rFonts w:ascii="Courier New" w:cs="Courier New" w:eastAsia="Courier New" w:hAnsi="Courier New"/>
          <w:sz w:val="14"/>
          <w:szCs w:val="14"/>
          <w:color w:val="auto"/>
        </w:rPr>
        <w:t>The 1999 decrease in patents of $3,229,932 from 1998 was primarily due to management's decision to wind down the ECT program and dispose of the related intellectual property. During the fourth quarter of 1999 we sold the patents related to our encapsulated cell technology to Neurotech for $3,000,000.</w:t>
      </w:r>
    </w:p>
    <w:p>
      <w:pPr>
        <w:spacing w:after="0" w:line="16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Accrued expenses increased by $1,584,949, primarily due to the accrual of approximately $1,172,000 for our estimate of the costs of settlement of a 1989 funding agreement with the Rhode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3" w:right="1440" w:bottom="1440" w:gutter="0" w:footer="0" w:header="0"/>
        </w:sectPr>
      </w:pPr>
    </w:p>
    <w:bookmarkStart w:id="20" w:name="page21"/>
    <w:bookmarkEnd w:id="20"/>
    <w:p>
      <w:pPr>
        <w:jc w:val="both"/>
        <w:ind w:right="3439"/>
        <w:spacing w:after="0" w:line="241" w:lineRule="auto"/>
        <w:rPr>
          <w:sz w:val="20"/>
          <w:szCs w:val="20"/>
          <w:color w:val="auto"/>
        </w:rPr>
      </w:pPr>
      <w:r>
        <w:rPr>
          <w:rFonts w:ascii="Courier New" w:cs="Courier New" w:eastAsia="Courier New" w:hAnsi="Courier New"/>
          <w:sz w:val="15"/>
          <w:szCs w:val="15"/>
          <w:color w:val="auto"/>
        </w:rPr>
        <w:t>Island Partnership for Science and Technology and $463,000 for the estimated lease payments and operating costs of the Rhode Island facilities through an expected disposal date of June 30, 2000.</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5"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had unrestricted cash and cash equivalents totaling $5,535,264 at June 30, 2000. Cash equivalents are invested in money market funds.</w:t>
      </w:r>
    </w:p>
    <w:p>
      <w:pPr>
        <w:spacing w:after="0" w:line="348" w:lineRule="exact"/>
        <w:rPr>
          <w:sz w:val="20"/>
          <w:szCs w:val="20"/>
          <w:color w:val="auto"/>
        </w:rPr>
      </w:pPr>
    </w:p>
    <w:p>
      <w:pPr>
        <w:jc w:val="both"/>
        <w:ind w:right="3159" w:firstLine="358"/>
        <w:spacing w:after="0" w:line="260" w:lineRule="auto"/>
        <w:rPr>
          <w:sz w:val="20"/>
          <w:szCs w:val="20"/>
          <w:color w:val="auto"/>
        </w:rPr>
      </w:pPr>
      <w:r>
        <w:rPr>
          <w:rFonts w:ascii="Courier New" w:cs="Courier New" w:eastAsia="Courier New" w:hAnsi="Courier New"/>
          <w:sz w:val="14"/>
          <w:szCs w:val="14"/>
          <w:color w:val="auto"/>
        </w:rPr>
        <w:t>We also hold 126,193 shares of Modex stock, which is publicly traded on the Swiss Neue Market exchange. While our Modex stock had an estimated fair market value of $27,204,333 on September 30, 2000 (and $23,128,598 on October 31,</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 Modex stock, and if we were to attempt to sell any significant portion of our Modex holdings, we would likely be able to do so only at a significant discount to the then market price, if at all.</w:t>
      </w:r>
    </w:p>
    <w:p>
      <w:pPr>
        <w:spacing w:after="0" w:line="35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17--"Research Agreements" to the Accompanying Consolidated Financial Statements.</w:t>
      </w:r>
    </w:p>
    <w:p>
      <w:pPr>
        <w:spacing w:after="0" w:line="193" w:lineRule="exact"/>
        <w:rPr>
          <w:sz w:val="20"/>
          <w:szCs w:val="20"/>
          <w:color w:val="auto"/>
        </w:rPr>
      </w:pPr>
    </w:p>
    <w:p>
      <w:pPr>
        <w:ind w:right="3339" w:firstLine="358"/>
        <w:spacing w:after="0" w:line="241" w:lineRule="auto"/>
        <w:rPr>
          <w:sz w:val="20"/>
          <w:szCs w:val="20"/>
          <w:color w:val="auto"/>
        </w:rPr>
      </w:pPr>
      <w:r>
        <w:rPr>
          <w:rFonts w:ascii="Courier New" w:cs="Courier New" w:eastAsia="Courier New" w:hAnsi="Courier New"/>
          <w:sz w:val="15"/>
          <w:szCs w:val="15"/>
          <w:color w:val="auto"/>
        </w:rPr>
        <w:t>In the third quarter of 1999, we announced restructuring plans for the wind-down of operations relating to our ECT and to focus our resources on the research and development of our platform of</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3" w:right="1440" w:bottom="1440" w:gutter="0" w:footer="0" w:header="0"/>
        </w:sectPr>
      </w:pPr>
    </w:p>
    <w:bookmarkStart w:id="21" w:name="page22"/>
    <w:bookmarkEnd w:id="21"/>
    <w:p>
      <w:pPr>
        <w:ind w:right="3339"/>
        <w:spacing w:after="0" w:line="242" w:lineRule="auto"/>
        <w:rPr>
          <w:sz w:val="20"/>
          <w:szCs w:val="20"/>
          <w:color w:val="auto"/>
        </w:rPr>
      </w:pPr>
      <w:r>
        <w:rPr>
          <w:rFonts w:ascii="Courier New" w:cs="Courier New" w:eastAsia="Courier New" w:hAnsi="Courier New"/>
          <w:sz w:val="15"/>
          <w:szCs w:val="15"/>
          <w:color w:val="auto"/>
        </w:rPr>
        <w:t>proprietary stem cell technologies. We terminated approximately 68 full time employees and, in October 1999, relocated our corporate headquarters to Sunnyvale, California. We recorded $6,047,806 of wind-down expenses including employee separation and relocation costs during 1999.</w:t>
      </w:r>
    </w:p>
    <w:p>
      <w:pPr>
        <w:spacing w:after="0" w:line="175"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 In addition, we retained certain non-exclusive rights to use ECT in combination with our proprietary stem cell 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16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May 1996, we secured an equipment loan facility with a bank in the amount of $2,000,000. On August 5, 1999 we made a payment of approximately $752,000 of principal and interest to the lender to retire this loan facility rather than seek a waiver by the lender of our violation of a loan covenant requiring us to maintain unrestricted liquidity in an amount equal to or in excess of $10 million.</w:t>
      </w:r>
    </w:p>
    <w:p>
      <w:pPr>
        <w:spacing w:after="0" w:line="176"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w:t>
      </w: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3" w:right="1440" w:bottom="1440" w:gutter="0" w:footer="0" w:header="0"/>
        </w:sectPr>
      </w:pPr>
    </w:p>
    <w:bookmarkStart w:id="22" w:name="page23"/>
    <w:bookmarkEnd w:id="22"/>
    <w:p>
      <w:pPr>
        <w:ind w:right="3079"/>
        <w:spacing w:after="0" w:line="242" w:lineRule="auto"/>
        <w:rPr>
          <w:sz w:val="20"/>
          <w:szCs w:val="20"/>
          <w:color w:val="auto"/>
        </w:rPr>
      </w:pPr>
      <w:r>
        <w:rPr>
          <w:rFonts w:ascii="Courier New" w:cs="Courier New" w:eastAsia="Courier New" w:hAnsi="Courier New"/>
          <w:sz w:val="15"/>
          <w:szCs w:val="15"/>
          <w:color w:val="auto"/>
        </w:rPr>
        <w:t>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 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8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4" w:lineRule="exact"/>
        <w:rPr>
          <w:sz w:val="20"/>
          <w:szCs w:val="20"/>
          <w:color w:val="auto"/>
        </w:rPr>
      </w:pPr>
    </w:p>
    <w:p>
      <w:pPr>
        <w:ind w:right="3439" w:firstLine="358"/>
        <w:spacing w:after="0" w:line="260" w:lineRule="auto"/>
        <w:rPr>
          <w:sz w:val="20"/>
          <w:szCs w:val="20"/>
          <w:color w:val="auto"/>
        </w:rPr>
      </w:pPr>
      <w:r>
        <w:rPr>
          <w:rFonts w:ascii="Courier New" w:cs="Courier New" w:eastAsia="Courier New" w:hAnsi="Courier New"/>
          <w:sz w:val="14"/>
          <w:szCs w:val="14"/>
          <w:color w:val="auto"/>
        </w:rPr>
        <w:t>In addition, the Fund has the option for twelve months to purchase up to $3 million of additional common stock. On August 23, 2000 the Fund exercised</w:t>
      </w:r>
    </w:p>
    <w:p>
      <w:pPr>
        <w:ind w:right="3079"/>
        <w:spacing w:after="0" w:line="242" w:lineRule="auto"/>
        <w:rPr>
          <w:sz w:val="20"/>
          <w:szCs w:val="20"/>
          <w:color w:val="auto"/>
        </w:rPr>
      </w:pPr>
      <w:r>
        <w:rPr>
          <w:rFonts w:ascii="Courier New" w:cs="Courier New" w:eastAsia="Courier New" w:hAnsi="Courier New"/>
          <w:sz w:val="15"/>
          <w:szCs w:val="15"/>
          <w:color w:val="auto"/>
        </w:rPr>
        <w:t>$1,000,000 of its option to purchase additional common stock at $5.53 per share. The Fund paid $750,000 of the purchase price in connection with the closing on August 30, 2000, and will pay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a warrant to purchase up to 19,900 shares of common stock at $6.03 per share. This warrant is callable by us at $10.05 per underlying share.</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3" w:right="1440" w:bottom="1440" w:gutter="0" w:footer="0" w:header="0"/>
        </w:sectPr>
      </w:pPr>
    </w:p>
    <w:bookmarkStart w:id="23" w:name="page24"/>
    <w:bookmarkEnd w:id="23"/>
    <w:p>
      <w:pPr>
        <w:ind w:right="3079"/>
        <w:spacing w:after="0" w:line="242" w:lineRule="auto"/>
        <w:rPr>
          <w:sz w:val="20"/>
          <w:szCs w:val="20"/>
          <w:color w:val="auto"/>
        </w:rPr>
      </w:pPr>
      <w:r>
        <w:rPr>
          <w:rFonts w:ascii="Courier New" w:cs="Courier New" w:eastAsia="Courier New" w:hAnsi="Courier New"/>
          <w:sz w:val="15"/>
          <w:szCs w:val="15"/>
          <w:color w:val="auto"/>
        </w:rPr>
        <w:t>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3" w:right="1440" w:bottom="1440" w:gutter="0" w:footer="0" w:header="0"/>
        </w:sectPr>
      </w:pPr>
    </w:p>
    <w:bookmarkStart w:id="24" w:name="page25"/>
    <w:bookmarkEnd w:id="24"/>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w:t>
      </w:r>
    </w:p>
    <w:p>
      <w:pPr>
        <w:spacing w:after="0" w:line="164"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w:t>
      </w:r>
    </w:p>
    <w:p>
      <w:pPr>
        <w:spacing w:after="0" w:line="163"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Cells, however, do this naturally. As a result, investigators have considered replacing failing cells that are no longer producing the needed substances or proteins by implanting stem or progenitor cells capable of regenerating the cell that the degenerative condition has damaged or destroyed. Where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1" w:right="1440" w:bottom="1440" w:gutter="0" w:footer="0" w:header="0"/>
        </w:sectPr>
      </w:pPr>
    </w:p>
    <w:bookmarkStart w:id="25" w:name="page26"/>
    <w:bookmarkEnd w:id="25"/>
    <w:p>
      <w:pPr>
        <w:ind w:right="3259"/>
        <w:spacing w:after="0" w:line="241" w:lineRule="auto"/>
        <w:rPr>
          <w:sz w:val="20"/>
          <w:szCs w:val="20"/>
          <w:color w:val="auto"/>
        </w:rPr>
      </w:pPr>
      <w:r>
        <w:rPr>
          <w:rFonts w:ascii="Courier New" w:cs="Courier New" w:eastAsia="Courier New" w:hAnsi="Courier New"/>
          <w:sz w:val="15"/>
          <w:szCs w:val="15"/>
          <w:color w:val="auto"/>
        </w:rPr>
        <w:t>there has been irreversible tissue damage or organ failure, transplantation of stem cells offers the possibility of generating new and healthy tissue, thus potentially restoring the organ function and the patient's health.</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5"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61" w:lineRule="exact"/>
        <w:rPr>
          <w:sz w:val="20"/>
          <w:szCs w:val="20"/>
          <w:color w:val="auto"/>
        </w:rPr>
      </w:pPr>
    </w:p>
    <w:p>
      <w:pPr>
        <w:ind w:left="700" w:hanging="350"/>
        <w:spacing w:after="0"/>
        <w:tabs>
          <w:tab w:leader="none" w:pos="7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5" w:lineRule="exact"/>
        <w:rPr>
          <w:rFonts w:ascii="Courier New" w:cs="Courier New" w:eastAsia="Courier New" w:hAnsi="Courier New"/>
          <w:sz w:val="15"/>
          <w:szCs w:val="15"/>
          <w:color w:val="auto"/>
        </w:rPr>
      </w:pPr>
    </w:p>
    <w:p>
      <w:pPr>
        <w:ind w:left="620" w:right="3079" w:hanging="270"/>
        <w:spacing w:after="0"/>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6"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8" w:lineRule="exact"/>
        <w:rPr>
          <w:sz w:val="20"/>
          <w:szCs w:val="20"/>
          <w:color w:val="auto"/>
        </w:rPr>
      </w:pPr>
    </w:p>
    <w:p>
      <w:pPr>
        <w:ind w:right="3259" w:firstLine="358"/>
        <w:spacing w:after="0" w:line="263" w:lineRule="auto"/>
        <w:rPr>
          <w:sz w:val="20"/>
          <w:szCs w:val="20"/>
          <w:color w:val="auto"/>
        </w:rPr>
      </w:pPr>
      <w:r>
        <w:rPr>
          <w:rFonts w:ascii="Courier New" w:cs="Courier New" w:eastAsia="Courier New" w:hAnsi="Courier New"/>
          <w:sz w:val="14"/>
          <w:szCs w:val="14"/>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w:t>
      </w:r>
    </w:p>
    <w:p>
      <w:pPr>
        <w:spacing w:after="0" w:line="163"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3" w:lineRule="exact"/>
        <w:rPr>
          <w:sz w:val="20"/>
          <w:szCs w:val="20"/>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diagnostics.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3" w:right="1440" w:bottom="1440" w:gutter="0" w:footer="0" w:header="0"/>
        </w:sectPr>
      </w:pPr>
    </w:p>
    <w:bookmarkStart w:id="26" w:name="page27"/>
    <w:bookmarkEnd w:id="26"/>
    <w:p>
      <w:pPr>
        <w:ind w:left="340"/>
        <w:spacing w:after="0"/>
        <w:rPr>
          <w:sz w:val="20"/>
          <w:szCs w:val="20"/>
          <w:color w:val="auto"/>
        </w:rPr>
      </w:pPr>
      <w:r>
        <w:rPr>
          <w:rFonts w:ascii="Courier New" w:cs="Courier New" w:eastAsia="Courier New" w:hAnsi="Courier New"/>
          <w:sz w:val="15"/>
          <w:szCs w:val="15"/>
          <w:color w:val="auto"/>
        </w:rPr>
        <w:t>We will be pursuing key alliances in these areas.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6" w:lineRule="exact"/>
        <w:rPr>
          <w:sz w:val="20"/>
          <w:szCs w:val="20"/>
          <w:color w:val="auto"/>
        </w:rPr>
      </w:pPr>
    </w:p>
    <w:p>
      <w:pPr>
        <w:ind w:left="520" w:right="3599" w:hanging="170"/>
        <w:spacing w:after="0"/>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6" w:lineRule="exact"/>
        <w:rPr>
          <w:rFonts w:ascii="Courier New" w:cs="Courier New" w:eastAsia="Courier New" w:hAnsi="Courier New"/>
          <w:sz w:val="15"/>
          <w:szCs w:val="15"/>
          <w:color w:val="auto"/>
        </w:rPr>
      </w:pPr>
    </w:p>
    <w:p>
      <w:pPr>
        <w:ind w:left="520" w:right="3259" w:hanging="170"/>
        <w:spacing w:after="0" w:line="241" w:lineRule="auto"/>
        <w:tabs>
          <w:tab w:leader="none" w:pos="5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1"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1" w:right="1440" w:bottom="1440" w:gutter="0" w:footer="0" w:header="0"/>
        </w:sectPr>
      </w:pPr>
    </w:p>
    <w:bookmarkStart w:id="27" w:name="page28"/>
    <w:bookmarkEnd w:id="27"/>
    <w:p>
      <w:pPr>
        <w:ind w:right="3259"/>
        <w:spacing w:after="0"/>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 OTHER TREATMENT</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 OF RESEARCH AND PRODUCT DEVELOPMENT STRATEGY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3" w:right="1440" w:bottom="1440" w:gutter="0" w:footer="0" w:header="0"/>
        </w:sectPr>
      </w:pPr>
    </w:p>
    <w:bookmarkStart w:id="28" w:name="page29"/>
    <w:bookmarkEnd w:id="28"/>
    <w:p>
      <w:pPr>
        <w:ind w:left="8" w:right="3879"/>
        <w:spacing w:after="0"/>
        <w:rPr>
          <w:sz w:val="20"/>
          <w:szCs w:val="20"/>
          <w:color w:val="auto"/>
        </w:rPr>
      </w:pPr>
      <w:r>
        <w:rPr>
          <w:rFonts w:ascii="Courier New" w:cs="Courier New" w:eastAsia="Courier New" w:hAnsi="Courier New"/>
          <w:sz w:val="15"/>
          <w:szCs w:val="15"/>
          <w:color w:val="auto"/>
        </w:rPr>
        <w:t>programs are at relatively early stages of development and will require substantial resources to commercialize.</w:t>
      </w:r>
    </w:p>
    <w:p>
      <w:pPr>
        <w:spacing w:after="0" w:line="200" w:lineRule="exact"/>
        <w:rPr>
          <w:sz w:val="20"/>
          <w:szCs w:val="20"/>
          <w:color w:val="auto"/>
        </w:rPr>
      </w:pPr>
    </w:p>
    <w:p>
      <w:pPr>
        <w:spacing w:after="0" w:line="318"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5168"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2" w:lineRule="exact"/>
        <w:rPr>
          <w:sz w:val="20"/>
          <w:szCs w:val="20"/>
          <w:color w:val="auto"/>
        </w:rPr>
      </w:pPr>
    </w:p>
    <w:p>
      <w:pPr>
        <w:ind w:left="8"/>
        <w:spacing w:after="0"/>
        <w:tabs>
          <w:tab w:leader="none" w:pos="338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none" w:pos="5348"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7"/>
          </w:cols>
          <w:pgMar w:left="232" w:top="463" w:right="1440" w:bottom="1440" w:gutter="0" w:footer="0" w:header="0"/>
        </w:sectPr>
      </w:pPr>
    </w:p>
    <w:p>
      <w:pPr>
        <w:spacing w:after="0" w:line="176" w:lineRule="exact"/>
        <w:rPr>
          <w:sz w:val="20"/>
          <w:szCs w:val="20"/>
          <w:color w:val="auto"/>
        </w:rPr>
      </w:pPr>
    </w:p>
    <w:p>
      <w:pPr>
        <w:ind w:left="8" w:right="100"/>
        <w:spacing w:after="0" w:line="263" w:lineRule="auto"/>
        <w:rPr>
          <w:sz w:val="20"/>
          <w:szCs w:val="20"/>
          <w:color w:val="auto"/>
        </w:rPr>
      </w:pPr>
      <w:r>
        <w:rPr>
          <w:rFonts w:ascii="Courier New" w:cs="Courier New" w:eastAsia="Courier New" w:hAnsi="Courier New"/>
          <w:sz w:val="14"/>
          <w:szCs w:val="14"/>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PANCREAS ISLET STEM CELL</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Repair or replace damaged pancreas islet tissue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LIVER STEM CELL</w:t>
      </w:r>
    </w:p>
    <w:p>
      <w:pPr>
        <w:spacing w:after="0" w:line="176" w:lineRule="exact"/>
        <w:rPr>
          <w:sz w:val="20"/>
          <w:szCs w:val="20"/>
          <w:color w:val="auto"/>
        </w:rPr>
      </w:pPr>
    </w:p>
    <w:p>
      <w:pPr>
        <w:ind w:left="8" w:right="100"/>
        <w:spacing w:after="0" w:line="242"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68" w:right="163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2" w:lineRule="exact"/>
        <w:rPr>
          <w:rFonts w:ascii="Courier New" w:cs="Courier New" w:eastAsia="Courier New" w:hAnsi="Courier New"/>
          <w:sz w:val="15"/>
          <w:szCs w:val="15"/>
          <w:color w:val="auto"/>
        </w:rPr>
      </w:pPr>
    </w:p>
    <w:p>
      <w:pPr>
        <w:ind w:left="268" w:right="1819" w:hanging="268"/>
        <w:spacing w:after="0"/>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ability of neurosphere-initiating stem cells from human brain</w:t>
      </w:r>
    </w:p>
    <w:p>
      <w:pPr>
        <w:spacing w:after="0" w:line="4" w:lineRule="exact"/>
        <w:rPr>
          <w:rFonts w:ascii="Courier New" w:cs="Courier New" w:eastAsia="Courier New" w:hAnsi="Courier New"/>
          <w:sz w:val="15"/>
          <w:szCs w:val="15"/>
          <w:color w:val="auto"/>
        </w:rPr>
      </w:pPr>
    </w:p>
    <w:p>
      <w:pPr>
        <w:ind w:left="268" w:right="1899" w:hanging="268"/>
        <w:spacing w:after="0" w:line="242" w:lineRule="auto"/>
        <w:tabs>
          <w:tab w:leader="none" w:pos="26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819" w:hanging="268"/>
        <w:spacing w:after="0" w:line="260" w:lineRule="auto"/>
        <w:tabs>
          <w:tab w:leader="none" w:pos="26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Identified markers on the surface of cells to identify, isolate and culture islet stem cells of the pancreas</w:t>
      </w:r>
    </w:p>
    <w:p>
      <w:pPr>
        <w:ind w:left="268" w:hanging="268"/>
        <w:spacing w:after="0"/>
        <w:tabs>
          <w:tab w:leader="none" w:pos="2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2"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RESEARCH</w:t>
      </w:r>
    </w:p>
    <w:p>
      <w:pPr>
        <w:spacing w:after="0" w:line="176" w:lineRule="exact"/>
        <w:rPr>
          <w:sz w:val="20"/>
          <w:szCs w:val="20"/>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jc w:val="both"/>
        <w:ind w:left="268" w:right="1999" w:hanging="268"/>
        <w:spacing w:after="0" w:line="241" w:lineRule="auto"/>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4" w:lineRule="exact"/>
        <w:rPr>
          <w:rFonts w:ascii="Courier New" w:cs="Courier New" w:eastAsia="Courier New" w:hAnsi="Courier New"/>
          <w:sz w:val="15"/>
          <w:szCs w:val="15"/>
          <w:color w:val="auto"/>
        </w:rPr>
      </w:pPr>
    </w:p>
    <w:p>
      <w:pPr>
        <w:ind w:left="268" w:right="1739" w:hanging="268"/>
        <w:spacing w:after="0"/>
        <w:tabs>
          <w:tab w:leader="none" w:pos="26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692" w:lineRule="exact"/>
        <w:rPr>
          <w:sz w:val="20"/>
          <w:szCs w:val="20"/>
          <w:color w:val="auto"/>
        </w:rPr>
      </w:pPr>
    </w:p>
    <w:p>
      <w:pPr>
        <w:sectPr>
          <w:pgSz w:w="11900" w:h="16838" w:orient="portrait"/>
          <w:cols w:equalWidth="0" w:num="2">
            <w:col w:w="3048" w:space="172"/>
            <w:col w:w="7007"/>
          </w:cols>
          <w:pgMar w:left="232" w:top="463" w:right="1440" w:bottom="1440" w:gutter="0" w:footer="0" w:header="0"/>
          <w:type w:val="continuous"/>
        </w:sectPr>
      </w:pPr>
    </w:p>
    <w:p>
      <w:pPr>
        <w:ind w:left="348" w:right="3079" w:hanging="348"/>
        <w:spacing w:after="0" w:line="265" w:lineRule="auto"/>
        <w:tabs>
          <w:tab w:leader="none" w:pos="3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463" w:right="1440" w:bottom="1440" w:gutter="0" w:footer="0" w:header="0"/>
          <w:type w:val="continuous"/>
        </w:sectPr>
      </w:pPr>
    </w:p>
    <w:bookmarkStart w:id="29" w:name="page30"/>
    <w:bookmarkEnd w:id="29"/>
    <w:p>
      <w:pPr>
        <w:ind w:right="3079" w:firstLine="358"/>
        <w:spacing w:after="0" w:line="242" w:lineRule="auto"/>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1"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We are expanding our preclinical efforts toward the goal of selecting the proper indications to pursue.</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7"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9"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7" w:lineRule="exact"/>
        <w:rPr>
          <w:sz w:val="20"/>
          <w:szCs w:val="20"/>
          <w:color w:val="auto"/>
        </w:rPr>
      </w:pPr>
    </w:p>
    <w:p>
      <w:pPr>
        <w:ind w:right="3439" w:firstLine="358"/>
        <w:spacing w:after="0" w:line="265" w:lineRule="auto"/>
        <w:rPr>
          <w:sz w:val="20"/>
          <w:szCs w:val="20"/>
          <w:color w:val="auto"/>
        </w:rPr>
      </w:pPr>
      <w:r>
        <w:rPr>
          <w:rFonts w:ascii="Courier New" w:cs="Courier New" w:eastAsia="Courier New" w:hAnsi="Courier New"/>
          <w:sz w:val="14"/>
          <w:szCs w:val="14"/>
          <w:color w:val="auto"/>
        </w:rPr>
        <w:t>In January 2000, we reported what we regard as an even more important result: In long term animal studies, our researchers were able to take these purified and expanded stem cells and transplant them into normal mouse brain hosts, where they take hold and grow into neurons and glial cells.</w:t>
      </w:r>
    </w:p>
    <w:p>
      <w:pPr>
        <w:spacing w:after="0" w:line="16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3" w:right="1440" w:bottom="1440" w:gutter="0" w:footer="0" w:header="0"/>
        </w:sectPr>
      </w:pPr>
    </w:p>
    <w:bookmarkStart w:id="30" w:name="page31"/>
    <w:bookmarkEnd w:id="30"/>
    <w:p>
      <w:pPr>
        <w:ind w:right="3159" w:firstLine="358"/>
        <w:spacing w:after="0" w:line="260"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6" w:lineRule="exact"/>
        <w:rPr>
          <w:sz w:val="20"/>
          <w:szCs w:val="20"/>
          <w:color w:val="auto"/>
        </w:rPr>
      </w:pPr>
    </w:p>
    <w:p>
      <w:pPr>
        <w:ind w:left="520" w:right="3259" w:hanging="170"/>
        <w:spacing w:after="0" w:line="241"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6" w:lineRule="exact"/>
        <w:rPr>
          <w:rFonts w:ascii="Courier New" w:cs="Courier New" w:eastAsia="Courier New" w:hAnsi="Courier New"/>
          <w:sz w:val="15"/>
          <w:szCs w:val="15"/>
          <w:color w:val="auto"/>
        </w:rPr>
      </w:pPr>
    </w:p>
    <w:p>
      <w:pPr>
        <w:ind w:left="520" w:right="3159" w:hanging="170"/>
        <w:spacing w:after="0" w:line="242" w:lineRule="auto"/>
        <w:tabs>
          <w:tab w:leader="none" w:pos="5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is currently being conducted by Nora Sarvetnick, Ph.D., of The Scripps Research Institute, in collaboration with some of our senior researchers.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6"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8" w:lineRule="exact"/>
        <w:rPr>
          <w:sz w:val="20"/>
          <w:szCs w:val="20"/>
          <w:color w:val="auto"/>
        </w:rPr>
      </w:pPr>
    </w:p>
    <w:p>
      <w:pPr>
        <w:ind w:right="3079" w:firstLine="358"/>
        <w:spacing w:after="0" w:line="262"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3" w:right="1440" w:bottom="1440" w:gutter="0" w:footer="0" w:header="0"/>
        </w:sectPr>
      </w:pPr>
    </w:p>
    <w:bookmarkStart w:id="31" w:name="page32"/>
    <w:bookmarkEnd w:id="31"/>
    <w:p>
      <w:pPr>
        <w:ind w:left="340"/>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7"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Sunnyvale, California. We are actively seeking to sublease, assign or sell our interest in our former corporate headquarters building and our pilot manufacturing and cell processing facility in Rhode Island.</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We retained certain non-exclusive rights to use the ECT in combination with our proprietary stem cell technology, and in the field of vaccines for prevention and treatment of infectious diseases.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1" w:right="1440" w:bottom="1440" w:gutter="0" w:footer="0" w:header="0"/>
        </w:sectPr>
      </w:pPr>
    </w:p>
    <w:bookmarkStart w:id="32" w:name="page33"/>
    <w:bookmarkEnd w:id="32"/>
    <w:p>
      <w:pPr>
        <w:ind w:right="3259" w:firstLine="358"/>
        <w:spacing w:after="0" w:line="262" w:lineRule="auto"/>
        <w:rPr>
          <w:sz w:val="20"/>
          <w:szCs w:val="20"/>
          <w:color w:val="auto"/>
        </w:rPr>
      </w:pPr>
      <w:r>
        <w:rPr>
          <w:rFonts w:ascii="Courier New" w:cs="Courier New" w:eastAsia="Courier New" w:hAnsi="Courier New"/>
          <w:sz w:val="14"/>
          <w:szCs w:val="14"/>
          <w:color w:val="auto"/>
        </w:rPr>
        <w:t>In a related development, by mutual consent we and the Advanced Technology Program of the National Institute of Standards and Technology terminated two grants previously awarded to us for our encapsulated cell therapy and stem cell-related research. The encapsulated cell therapy grant was obviated by the sale of the technology to Neurotech. The funding agency has invited us to resubmit a proposal consistent with the new directions we are taking in our research and development of our platform of stem cell technologies.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STEMCELLS CALIFORNIA,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6" w:lineRule="exact"/>
        <w:rPr>
          <w:sz w:val="20"/>
          <w:szCs w:val="20"/>
          <w:color w:val="auto"/>
        </w:rPr>
      </w:pPr>
    </w:p>
    <w:p>
      <w:pPr>
        <w:ind w:right="3159" w:firstLine="358"/>
        <w:spacing w:after="0" w:line="261" w:lineRule="auto"/>
        <w:rPr>
          <w:sz w:val="20"/>
          <w:szCs w:val="20"/>
          <w:color w:val="auto"/>
        </w:rPr>
      </w:pPr>
      <w:r>
        <w:rPr>
          <w:rFonts w:ascii="Courier New" w:cs="Courier New" w:eastAsia="Courier New" w:hAnsi="Courier New"/>
          <w:sz w:val="14"/>
          <w:szCs w:val="14"/>
          <w:color w:val="auto"/>
        </w:rPr>
        <w:t>In July 1996, we, together with certain founding scientists, established Modex Therapeutics SA,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We now own 126,193 shares, or approximately 9%, of Modex's equity, subject to a lockup until December 23, 2000. The closing market price of Modex stock on the Swiss Neue Market exchange on October 31, 2000 was 329.50 Swiss francs, or approximately $183,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NEUROSPHERES, LTD.</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3" w:right="1440" w:bottom="1440" w:gutter="0" w:footer="0" w:header="0"/>
        </w:sectPr>
      </w:pPr>
    </w:p>
    <w:bookmarkStart w:id="33" w:name="page34"/>
    <w:bookmarkEnd w:id="33"/>
    <w:p>
      <w:pPr>
        <w:ind w:right="3079"/>
        <w:spacing w:after="0" w:line="242" w:lineRule="auto"/>
        <w:rPr>
          <w:sz w:val="20"/>
          <w:szCs w:val="20"/>
          <w:color w:val="auto"/>
        </w:rPr>
      </w:pPr>
      <w:r>
        <w:rPr>
          <w:rFonts w:ascii="Courier New" w:cs="Courier New" w:eastAsia="Courier New" w:hAnsi="Courier New"/>
          <w:sz w:val="15"/>
          <w:szCs w:val="15"/>
          <w:color w:val="auto"/>
        </w:rPr>
        <w:t>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34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SIGNAL PHARMACEUTICALS,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SPONSORED RESEARCH AGREEMENTS</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research agreement with Scripps expired on November 14, 2000 and we are negotiating with Scripps to extend the term of this agreement or to enter into a new agreement. As of the date of this prospectus, we have not yet completed our negotiations with Scripps and we cannot give any assurance that our negotiations will be successful. If we are unable to extend the term of this agreement, we will have to find a replacement to perform this research or we will have to perform this research ourselves. In either case, we may experience delay and additional expense in connection with this research effort. Our license agreements with Scripps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w:t>
      </w:r>
    </w:p>
    <w:p>
      <w:pPr>
        <w:spacing w:after="0" w:line="35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paid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4" w:name="page35"/>
    <w:bookmarkEnd w:id="34"/>
    <w:p>
      <w:pPr>
        <w:ind w:right="3439"/>
        <w:spacing w:after="0" w:line="241" w:lineRule="auto"/>
        <w:rPr>
          <w:sz w:val="20"/>
          <w:szCs w:val="20"/>
          <w:color w:val="auto"/>
        </w:rPr>
      </w:pPr>
      <w:r>
        <w:rPr>
          <w:rFonts w:ascii="Courier New" w:cs="Courier New" w:eastAsia="Courier New" w:hAnsi="Courier New"/>
          <w:sz w:val="15"/>
          <w:szCs w:val="15"/>
          <w:color w:val="auto"/>
        </w:rPr>
        <w:t>$2 million per year, with an overall maximum of $15 million. Once we pay the $15 million maximum royalty, the licenses will become fully paid and irrevocable.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6" w:lineRule="exact"/>
        <w:rPr>
          <w:sz w:val="20"/>
          <w:szCs w:val="20"/>
          <w:color w:val="auto"/>
        </w:rPr>
      </w:pPr>
    </w:p>
    <w:p>
      <w:pPr>
        <w:ind w:right="3159" w:firstLine="358"/>
        <w:spacing w:after="0" w:line="262"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nineteen issued U.S. patents, six of which have issued within the last year. An additional thirteen patent applications are pending, one of which has been allowed.</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own or have filed patent applications which have been published for the following U.S. patents: Patent Number 5,968,829 (Human CNS neural stem cells); Patent Number 6,103,530 (Human CNS neural stem cells--culture media); Application Number WO 99/11758 (Cultures of human CNS neural stem cells); and Application Number WO 00/36091 (An animal model for identifying a common stem/progenitor to liver cells and pancreatic cells). We have licensed the following patents or pending patent applications from Neurospheres Holdings Ltd.: Patent Number 5,851,832 (In vitro proliferation); Patent Number 5,750,376 (In vitro genetic modification); Patent Number 5,981,165 (In vitro production of dopaminergic cells from mammalian central nervous system multipotent stem cell compositions); Patent Number 6,093,531 (Generation of hematopoietic cells from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3" w:right="1440" w:bottom="1440" w:gutter="0" w:footer="0" w:header="0"/>
        </w:sectPr>
      </w:pPr>
    </w:p>
    <w:bookmarkStart w:id="35" w:name="page36"/>
    <w:bookmarkEnd w:id="35"/>
    <w:p>
      <w:pPr>
        <w:ind w:right="3259"/>
        <w:spacing w:after="0" w:line="242" w:lineRule="auto"/>
        <w:rPr>
          <w:sz w:val="20"/>
          <w:szCs w:val="20"/>
          <w:color w:val="auto"/>
        </w:rPr>
      </w:pPr>
      <w:r>
        <w:rPr>
          <w:rFonts w:ascii="Courier New" w:cs="Courier New" w:eastAsia="Courier New" w:hAnsi="Courier New"/>
          <w:sz w:val="15"/>
          <w:szCs w:val="15"/>
          <w:color w:val="auto"/>
        </w:rPr>
        <w:t>multipotent stem cell compositions); Application Number WO 96/15224 (Differentiation of mammalian central nervous system multipotent stem cell compositions); and Application Number WO 96/15226 (In vitro production of dopaminergic cells from mammalian central nervous system multipotent stem cell composition). We have licensed the following patents or pending patent applications from the University of California, San Diego: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5,776,948 (Method of production of neuroblasts); Patent Number 6,013,521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production of neuroblasts); Patent Number 6,020,197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and Application Number WO 94/16059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production of neuroblasts). We have licensed the following patents or pending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applications from the California Institute of Technology: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5,629,159 (Immortalization and disimmortalization of cells);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96/40877 (Immortalization and disimmortalization of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5,935,811 (Neuron restrictive silencer factor proteins); Application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WO 96/27665 (Neuron restrictive silencer factor proteins);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5,589,376 (Mammalian neural crest stem cells); Patent Number 5,824,489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for isolating mammalian multipotent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Application Number WO 94/02593 (Mammalian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5,654,183 (Genetically engineered mammalian neural crest stem 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 Number 5,928,947 (Mammalian multipotent neural crest stem cells); Patent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5,693,482 (In vitro neural crest stem cell assay); Patent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Number 6,001,654 (Methods for differentiating neural stem cells to neurons or smooth muscle cells (TGFb)); Application Number WO 98/48001 (Methods for differentiating neural stem cells to neurons or smooth muscle cells (TGFb)); Patent Number 5,672,499 (Methods for immortalizing multipotent neural crest stem cells); Patent Number 5,849,553 (Immortalizing and disimmortalizing multipotent neural crest stem cells); and Patent Number 6,033,906 (Differentiating mammalian neural stem cells to glial cells using neuregulins).</w:t>
      </w:r>
    </w:p>
    <w:p>
      <w:pPr>
        <w:spacing w:after="0" w:line="177" w:lineRule="exact"/>
        <w:rPr>
          <w:sz w:val="20"/>
          <w:szCs w:val="20"/>
          <w:color w:val="auto"/>
        </w:rPr>
      </w:pPr>
    </w:p>
    <w:p>
      <w:pPr>
        <w:ind w:right="3599" w:firstLine="358"/>
        <w:spacing w:after="0" w:line="241"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and pancreas stem cells.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63" w:right="1440" w:bottom="1440" w:gutter="0" w:footer="0" w:header="0"/>
        </w:sectPr>
      </w:pPr>
    </w:p>
    <w:bookmarkStart w:id="36" w:name="page37"/>
    <w:bookmarkEnd w:id="36"/>
    <w:p>
      <w:pPr>
        <w:ind w:right="3339"/>
        <w:spacing w:after="0" w:line="241" w:lineRule="auto"/>
        <w:rPr>
          <w:sz w:val="20"/>
          <w:szCs w:val="20"/>
          <w:color w:val="auto"/>
        </w:rPr>
      </w:pPr>
      <w:r>
        <w:rPr>
          <w:rFonts w:ascii="Courier New" w:cs="Courier New" w:eastAsia="Courier New" w:hAnsi="Courier New"/>
          <w:sz w:val="15"/>
          <w:szCs w:val="15"/>
          <w:color w:val="auto"/>
        </w:rPr>
        <w:t>compete with these products principally on the basis of improved and extended efficacy and safety and their overall economic benefit to the health care system.</w:t>
      </w:r>
    </w:p>
    <w:p>
      <w:pPr>
        <w:spacing w:after="0" w:line="34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34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8"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5" w:lineRule="exact"/>
        <w:rPr>
          <w:sz w:val="20"/>
          <w:szCs w:val="20"/>
          <w:color w:val="auto"/>
        </w:rPr>
      </w:pPr>
    </w:p>
    <w:p>
      <w:pPr>
        <w:ind w:right="3259" w:firstLine="358"/>
        <w:spacing w:after="0" w:line="262" w:lineRule="auto"/>
        <w:rPr>
          <w:sz w:val="20"/>
          <w:szCs w:val="20"/>
          <w:color w:val="auto"/>
        </w:rPr>
      </w:pPr>
      <w:r>
        <w:rPr>
          <w:rFonts w:ascii="Courier New" w:cs="Courier New" w:eastAsia="Courier New" w:hAnsi="Courier New"/>
          <w:sz w:val="14"/>
          <w:szCs w:val="14"/>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w:t>
      </w:r>
    </w:p>
    <w:p>
      <w:pPr>
        <w:spacing w:after="0" w:line="16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3" w:right="1440" w:bottom="1440" w:gutter="0" w:footer="0" w:header="0"/>
        </w:sectPr>
      </w:pPr>
    </w:p>
    <w:bookmarkStart w:id="37" w:name="page38"/>
    <w:bookmarkEnd w:id="37"/>
    <w:p>
      <w:pPr>
        <w:ind w:left="348"/>
        <w:spacing w:after="0"/>
        <w:rPr>
          <w:sz w:val="20"/>
          <w:szCs w:val="20"/>
          <w:color w:val="auto"/>
        </w:rPr>
      </w:pPr>
      <w:r>
        <w:rPr>
          <w:rFonts w:ascii="Courier New" w:cs="Courier New" w:eastAsia="Courier New" w:hAnsi="Courier New"/>
          <w:sz w:val="15"/>
          <w:szCs w:val="15"/>
          <w:color w:val="auto"/>
        </w:rPr>
        <w:t>FDA APPROVAL</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8" w:lineRule="exact"/>
        <w:rPr>
          <w:sz w:val="20"/>
          <w:szCs w:val="20"/>
          <w:color w:val="auto"/>
        </w:rPr>
      </w:pPr>
    </w:p>
    <w:p>
      <w:pPr>
        <w:ind w:left="1788"/>
        <w:spacing w:after="0"/>
        <w:tabs>
          <w:tab w:leader="none" w:pos="5528"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74" w:lineRule="exact"/>
        <w:rPr>
          <w:sz w:val="20"/>
          <w:szCs w:val="20"/>
          <w:color w:val="auto"/>
        </w:rPr>
      </w:pPr>
    </w:p>
    <w:p>
      <w:pPr>
        <w:ind w:left="8"/>
        <w:spacing w:after="0"/>
        <w:tabs>
          <w:tab w:leader="none" w:pos="4188" w:val="left"/>
        </w:tabs>
        <w:rPr>
          <w:sz w:val="20"/>
          <w:szCs w:val="20"/>
          <w:color w:val="auto"/>
        </w:rPr>
      </w:pPr>
      <w:r>
        <w:rPr>
          <w:rFonts w:ascii="Courier New" w:cs="Courier New" w:eastAsia="Courier New" w:hAnsi="Courier New"/>
          <w:sz w:val="15"/>
          <w:szCs w:val="15"/>
          <w:color w:val="auto"/>
        </w:rPr>
        <w:t>1. Preclinical laboratory and animal tests</w:t>
      </w:r>
      <w:r>
        <w:rPr>
          <w:sz w:val="20"/>
          <w:szCs w:val="20"/>
          <w:color w:val="auto"/>
        </w:rPr>
        <w:tab/>
      </w:r>
      <w:r>
        <w:rPr>
          <w:rFonts w:ascii="Courier New" w:cs="Courier New" w:eastAsia="Courier New" w:hAnsi="Courier New"/>
          <w:sz w:val="14"/>
          <w:szCs w:val="14"/>
          <w:color w:val="auto"/>
        </w:rPr>
        <w:t>Preclinical tests include laboratory</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evaluation of the product and animal studies</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in specific disease models to assess the</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potential safety and efficacy of the product</w:t>
      </w:r>
    </w:p>
    <w:p>
      <w:pPr>
        <w:spacing w:after="0" w:line="2" w:lineRule="exact"/>
        <w:rPr>
          <w:sz w:val="20"/>
          <w:szCs w:val="20"/>
          <w:color w:val="auto"/>
        </w:rPr>
      </w:pPr>
    </w:p>
    <w:p>
      <w:pPr>
        <w:ind w:left="4208"/>
        <w:spacing w:after="0"/>
        <w:rPr>
          <w:sz w:val="20"/>
          <w:szCs w:val="20"/>
          <w:color w:val="auto"/>
        </w:rPr>
      </w:pPr>
      <w:r>
        <w:rPr>
          <w:rFonts w:ascii="Courier New" w:cs="Courier New" w:eastAsia="Courier New" w:hAnsi="Courier New"/>
          <w:sz w:val="15"/>
          <w:szCs w:val="15"/>
          <w:color w:val="auto"/>
        </w:rPr>
        <w:t>and our formulation as well as the quality</w:t>
      </w:r>
    </w:p>
    <w:p>
      <w:pPr>
        <w:spacing w:after="0" w:line="4" w:lineRule="exact"/>
        <w:rPr>
          <w:sz w:val="20"/>
          <w:szCs w:val="20"/>
          <w:color w:val="auto"/>
        </w:rPr>
      </w:pPr>
    </w:p>
    <w:p>
      <w:pPr>
        <w:ind w:left="4208"/>
        <w:spacing w:after="0"/>
        <w:rPr>
          <w:sz w:val="20"/>
          <w:szCs w:val="20"/>
          <w:color w:val="auto"/>
        </w:rPr>
      </w:pPr>
      <w:r>
        <w:rPr>
          <w:rFonts w:ascii="Courier New" w:cs="Courier New" w:eastAsia="Courier New" w:hAnsi="Courier New"/>
          <w:sz w:val="14"/>
          <w:szCs w:val="14"/>
          <w:color w:val="auto"/>
        </w:rPr>
        <w:t>and consistency of the manufacturing process.</w:t>
      </w:r>
    </w:p>
    <w:p>
      <w:pPr>
        <w:sectPr>
          <w:pgSz w:w="11900" w:h="16838" w:orient="portrait"/>
          <w:cols w:equalWidth="0" w:num="1">
            <w:col w:w="10227"/>
          </w:cols>
          <w:pgMar w:left="232" w:top="461" w:right="1440" w:bottom="1440" w:gutter="0" w:footer="0" w:header="0"/>
        </w:sectPr>
      </w:pPr>
    </w:p>
    <w:p>
      <w:pPr>
        <w:spacing w:after="0" w:line="184" w:lineRule="exact"/>
        <w:rPr>
          <w:sz w:val="20"/>
          <w:szCs w:val="20"/>
          <w:color w:val="auto"/>
        </w:rPr>
      </w:pPr>
    </w:p>
    <w:p>
      <w:pPr>
        <w:ind w:left="268" w:hanging="268"/>
        <w:spacing w:after="0"/>
        <w:tabs>
          <w:tab w:leader="none" w:pos="2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w:t>
      </w:r>
    </w:p>
    <w:p>
      <w:pPr>
        <w:spacing w:after="0" w:line="3" w:lineRule="exact"/>
        <w:rPr>
          <w:rFonts w:ascii="Courier New" w:cs="Courier New" w:eastAsia="Courier New" w:hAnsi="Courier New"/>
          <w:sz w:val="15"/>
          <w:szCs w:val="15"/>
          <w:color w:val="auto"/>
        </w:rPr>
      </w:pPr>
    </w:p>
    <w:p>
      <w:pPr>
        <w:ind w:left="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79"/>
        <w:spacing w:after="0" w:line="242" w:lineRule="auto"/>
        <w:rPr>
          <w:sz w:val="20"/>
          <w:szCs w:val="20"/>
          <w:color w:val="auto"/>
        </w:rPr>
      </w:pPr>
      <w:r>
        <w:rPr>
          <w:rFonts w:ascii="Courier New" w:cs="Courier New" w:eastAsia="Courier New" w:hAnsi="Courier New"/>
          <w:sz w:val="15"/>
          <w:szCs w:val="15"/>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176" w:lineRule="exact"/>
        <w:rPr>
          <w:sz w:val="20"/>
          <w:szCs w:val="20"/>
          <w:color w:val="auto"/>
        </w:rPr>
      </w:pPr>
    </w:p>
    <w:p>
      <w:pPr>
        <w:sectPr>
          <w:pgSz w:w="11900" w:h="16838" w:orient="portrait"/>
          <w:cols w:equalWidth="0" w:num="2">
            <w:col w:w="4028" w:space="180"/>
            <w:col w:w="6019"/>
          </w:cols>
          <w:pgMar w:left="232" w:top="461" w:right="1440" w:bottom="1440" w:gutter="0" w:footer="0" w:header="0"/>
          <w:type w:val="continuous"/>
        </w:sectPr>
      </w:pPr>
    </w:p>
    <w:p>
      <w:pPr>
        <w:ind w:left="8" w:hanging="8"/>
        <w:spacing w:after="0" w:line="241" w:lineRule="auto"/>
        <w:tabs>
          <w:tab w:leader="none" w:pos="27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ind w:left="4" w:right="1999"/>
        <w:spacing w:after="0" w:line="242" w:lineRule="auto"/>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9" w:lineRule="exact"/>
        <w:rPr>
          <w:sz w:val="20"/>
          <w:szCs w:val="20"/>
          <w:color w:val="auto"/>
        </w:rPr>
      </w:pPr>
    </w:p>
    <w:p>
      <w:pPr>
        <w:ind w:left="4" w:right="2179"/>
        <w:spacing w:after="0" w:line="241"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6" w:lineRule="exact"/>
        <w:rPr>
          <w:sz w:val="20"/>
          <w:szCs w:val="20"/>
          <w:color w:val="auto"/>
        </w:rPr>
      </w:pPr>
    </w:p>
    <w:p>
      <w:pPr>
        <w:ind w:left="4" w:right="2359" w:hanging="4"/>
        <w:spacing w:after="0" w:line="260" w:lineRule="auto"/>
        <w:tabs>
          <w:tab w:leader="none" w:pos="183"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w:t>
      </w:r>
    </w:p>
    <w:p>
      <w:pPr>
        <w:ind w:left="184" w:right="217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into selected patient populations to test for adverse reactions, dosage tolerance, absorption and distribution, metabolism, excretion and clinical pharmacology.</w:t>
      </w:r>
    </w:p>
    <w:p>
      <w:pPr>
        <w:spacing w:after="0" w:line="200" w:lineRule="exact"/>
        <w:rPr>
          <w:sz w:val="20"/>
          <w:szCs w:val="20"/>
          <w:color w:val="auto"/>
        </w:rPr>
      </w:pPr>
    </w:p>
    <w:p>
      <w:pPr>
        <w:sectPr>
          <w:pgSz w:w="11900" w:h="16838" w:orient="portrait"/>
          <w:cols w:equalWidth="0" w:num="2">
            <w:col w:w="3848" w:space="356"/>
            <w:col w:w="6023"/>
          </w:cols>
          <w:pgMar w:left="232" w:top="461" w:right="1440" w:bottom="1440" w:gutter="0" w:footer="0" w:header="0"/>
          <w:type w:val="continuous"/>
        </w:sectPr>
      </w:pPr>
    </w:p>
    <w:p>
      <w:pPr>
        <w:spacing w:after="0" w:line="13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7"/>
          </w:cols>
          <w:pgMar w:left="232" w:top="461" w:right="1440" w:bottom="1440" w:gutter="0" w:footer="0" w:header="0"/>
          <w:type w:val="continuous"/>
        </w:sectPr>
      </w:pPr>
    </w:p>
    <w:bookmarkStart w:id="38" w:name="page39"/>
    <w:bookmarkEnd w:id="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 w:right="176" w:hanging="8"/>
        <w:spacing w:after="0"/>
        <w:tabs>
          <w:tab w:leader="none" w:pos="27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 w:lineRule="exact"/>
        <w:rPr>
          <w:sz w:val="20"/>
          <w:szCs w:val="20"/>
          <w:color w:val="auto"/>
        </w:rPr>
      </w:pPr>
      <w:r>
        <w:rPr>
          <w:sz w:val="20"/>
          <w:szCs w:val="20"/>
          <w:color w:val="auto"/>
        </w:rPr>
        <w:br w:type="column"/>
      </w:r>
    </w:p>
    <w:p>
      <w:pPr>
        <w:ind w:left="4" w:right="243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w:t>
      </w:r>
    </w:p>
    <w:p>
      <w:pPr>
        <w:ind w:left="184" w:right="2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efficacy of the product for specific targeted indications and populations, (ii) 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8" w:lineRule="exact"/>
        <w:rPr>
          <w:rFonts w:ascii="Courier New" w:cs="Courier New" w:eastAsia="Courier New" w:hAnsi="Courier New"/>
          <w:sz w:val="14"/>
          <w:szCs w:val="14"/>
          <w:color w:val="auto"/>
        </w:rPr>
      </w:pPr>
    </w:p>
    <w:p>
      <w:pPr>
        <w:ind w:left="4" w:right="2259" w:hanging="4"/>
        <w:spacing w:after="0" w:line="260" w:lineRule="auto"/>
        <w:tabs>
          <w:tab w:leader="none" w:pos="18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w:t>
      </w:r>
    </w:p>
    <w:p>
      <w:pPr>
        <w:ind w:left="184" w:right="21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to test further for safety within an expanded patient population, generally at multiple study sites.</w:t>
      </w:r>
    </w:p>
    <w:p>
      <w:pPr>
        <w:spacing w:after="0" w:line="176"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175" w:lineRule="exact"/>
        <w:rPr>
          <w:sz w:val="20"/>
          <w:szCs w:val="20"/>
          <w:color w:val="auto"/>
        </w:rPr>
      </w:pPr>
    </w:p>
    <w:p>
      <w:pPr>
        <w:ind w:left="4" w:right="2079"/>
        <w:spacing w:after="0" w:line="242"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5" w:lineRule="exact"/>
        <w:rPr>
          <w:sz w:val="20"/>
          <w:szCs w:val="20"/>
          <w:color w:val="auto"/>
        </w:rPr>
      </w:pPr>
    </w:p>
    <w:p>
      <w:pPr>
        <w:sectPr>
          <w:pgSz w:w="11900" w:h="16838" w:orient="portrait"/>
          <w:cols w:equalWidth="0" w:num="2">
            <w:col w:w="3484" w:space="720"/>
            <w:col w:w="6023"/>
          </w:cols>
          <w:pgMar w:left="232" w:top="807" w:right="1440" w:bottom="1440" w:gutter="0" w:footer="0" w:header="0"/>
        </w:sectPr>
      </w:pPr>
    </w:p>
    <w:p>
      <w:pPr>
        <w:ind w:left="8" w:hanging="8"/>
        <w:spacing w:after="0" w:line="242" w:lineRule="auto"/>
        <w:tabs>
          <w:tab w:leader="none" w:pos="27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 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ind w:right="1999"/>
        <w:spacing w:after="0" w:line="242" w:lineRule="auto"/>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4028" w:space="180"/>
            <w:col w:w="6019"/>
          </w:cols>
          <w:pgMar w:left="232" w:top="807" w:right="1440" w:bottom="1440" w:gutter="0" w:footer="0" w:header="0"/>
          <w:type w:val="continuous"/>
        </w:sectPr>
      </w:pPr>
    </w:p>
    <w:p>
      <w:pPr>
        <w:spacing w:after="0" w:line="151"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FDA MANUFACTURING REQUIREMENTS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8"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ORPHAN DRUG ACT</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807" w:right="1440" w:bottom="1440" w:gutter="0" w:footer="0" w:header="0"/>
          <w:type w:val="continuous"/>
        </w:sectPr>
      </w:pPr>
    </w:p>
    <w:bookmarkStart w:id="39" w:name="page40"/>
    <w:bookmarkEnd w:id="39"/>
    <w:p>
      <w:pPr>
        <w:ind w:right="3079"/>
        <w:spacing w:after="0" w:line="267" w:lineRule="auto"/>
        <w:rPr>
          <w:sz w:val="20"/>
          <w:szCs w:val="20"/>
          <w:color w:val="auto"/>
        </w:rPr>
      </w:pPr>
      <w:r>
        <w:rPr>
          <w:rFonts w:ascii="Courier New" w:cs="Courier New" w:eastAsia="Courier New" w:hAnsi="Courier New"/>
          <w:sz w:val="14"/>
          <w:szCs w:val="14"/>
          <w:color w:val="auto"/>
        </w:rPr>
        <w:t>affect more than 200,000 individuals in the United States if the sponsor does not realistically anticipate its product becoming profitable from sales in the United States. We may apply for orphan drug status for certain of our therapies.</w:t>
      </w:r>
    </w:p>
    <w:p>
      <w:pPr>
        <w:spacing w:after="0" w:line="15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PROPOSED FDA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 contain such research. Certain of our collaborators have stock options or other equity interests in us that could subject such collaborators and us to the proposed regulations.</w:t>
      </w:r>
    </w:p>
    <w:p>
      <w:pPr>
        <w:spacing w:after="0" w:line="17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OTHER REGULATIONS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5"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463" w:right="1440" w:bottom="1440" w:gutter="0" w:footer="0" w:header="0"/>
        </w:sectPr>
      </w:pPr>
    </w:p>
    <w:bookmarkStart w:id="40" w:name="page41"/>
    <w:bookmarkEnd w:id="40"/>
    <w:p>
      <w:pPr>
        <w:ind w:left="988"/>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348"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Our investment in 126,193 shares of Modex Therapeutics Ltd. Stock was valued at $27,204,333 based on the per share price of $215.58, which we converted from a market price of 372.00 Swiss francs on September 30, 2000. Our value in this investment is subject to both equity price risk and foreign currency exchange risk. Modex shares were offered in an IPO on the Swiss Neue Market on June 23, 2000 at a price of 168.00 Swiss francs. From the date of the IPO to the date of this prospectus, the Modex closing share price has fluctuated from a low of</w:t>
      </w:r>
    </w:p>
    <w:p>
      <w:pPr>
        <w:spacing w:after="0" w:line="1"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200.00 Swiss francs on June 23, 2000 to a high of 390.00 Swiss francs on October 6, 2000. The market price of the Modex stock on October 31, 2000 was 329.50 Swiss francs, which converts to $183.28 using exchange rates on that date, which represents an estimated fair market value of $23,128,598 for our holdings. If we were to seek to liquidate all or part of our investment in Modex, our proceeds would depend on the share price and foreign currency exchange rates at the time of conversion. Additionally, if we sell a sizable portion of our holdings, we may have to sell these shares at a discount to market price. We are restricted from any sale of our shares in Modex until December 23, 2000.</w:t>
      </w:r>
    </w:p>
    <w:p>
      <w:pPr>
        <w:spacing w:after="0" w:line="33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company's sole market risk sensitive instrument is: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MARKET VALUE</w:t>
            </w:r>
          </w:p>
        </w:tc>
        <w:tc>
          <w:tcPr>
            <w:tcW w:w="1260" w:type="dxa"/>
            <w:vAlign w:val="bottom"/>
          </w:tcPr>
          <w:p>
            <w:pPr>
              <w:jc w:val="center"/>
              <w:ind w:left="265"/>
              <w:spacing w:after="0"/>
              <w:rPr>
                <w:sz w:val="20"/>
                <w:szCs w:val="20"/>
                <w:color w:val="auto"/>
              </w:rPr>
            </w:pPr>
            <w:r>
              <w:rPr>
                <w:rFonts w:ascii="Courier New" w:cs="Courier New" w:eastAsia="Courier New" w:hAnsi="Courier New"/>
                <w:sz w:val="15"/>
                <w:szCs w:val="15"/>
                <w:color w:val="auto"/>
                <w:w w:val="99"/>
              </w:rPr>
              <w:t>EXPECTED</w:t>
            </w: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540"/>
              <w:spacing w:after="0"/>
              <w:rPr>
                <w:sz w:val="20"/>
                <w:szCs w:val="20"/>
                <w:color w:val="auto"/>
              </w:rPr>
            </w:pPr>
            <w:r>
              <w:rPr>
                <w:rFonts w:ascii="Courier New" w:cs="Courier New" w:eastAsia="Courier New" w:hAnsi="Courier New"/>
                <w:sz w:val="15"/>
                <w:szCs w:val="15"/>
                <w:color w:val="auto"/>
              </w:rPr>
              <w:t>ASSOCIATED</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AT SEPTEMBER 30,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FUTURE</w:t>
            </w:r>
          </w:p>
        </w:tc>
      </w:tr>
      <w:tr>
        <w:trPr>
          <w:trHeight w:val="172"/>
        </w:trPr>
        <w:tc>
          <w:tcPr>
            <w:tcW w:w="14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9"/>
              </w:rPr>
              <w:t>NO. OF SHARES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DESCRIPTION</w:t>
            </w:r>
          </w:p>
        </w:tc>
        <w:tc>
          <w:tcPr>
            <w:tcW w:w="1740" w:type="dxa"/>
            <w:vAlign w:val="bottom"/>
          </w:tcPr>
          <w:p>
            <w:pPr>
              <w:ind w:left="720"/>
              <w:spacing w:after="0"/>
              <w:rPr>
                <w:sz w:val="20"/>
                <w:szCs w:val="20"/>
                <w:color w:val="auto"/>
              </w:rPr>
            </w:pPr>
            <w:r>
              <w:rPr>
                <w:rFonts w:ascii="Courier New" w:cs="Courier New" w:eastAsia="Courier New" w:hAnsi="Courier New"/>
                <w:sz w:val="15"/>
                <w:szCs w:val="15"/>
                <w:color w:val="auto"/>
              </w:rPr>
              <w:t>RISKS</w:t>
            </w:r>
          </w:p>
        </w:tc>
        <w:tc>
          <w:tcPr>
            <w:tcW w:w="20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2000</w:t>
            </w:r>
          </w:p>
        </w:tc>
        <w:tc>
          <w:tcPr>
            <w:tcW w:w="12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CASH FLOWS</w:t>
            </w:r>
          </w:p>
        </w:tc>
      </w:tr>
      <w:tr>
        <w:trPr>
          <w:trHeight w:val="344"/>
        </w:trPr>
        <w:tc>
          <w:tcPr>
            <w:tcW w:w="14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123,193</w:t>
            </w:r>
          </w:p>
        </w:tc>
        <w:tc>
          <w:tcPr>
            <w:tcW w:w="1560" w:type="dxa"/>
            <w:vAlign w:val="bottom"/>
          </w:tcPr>
          <w:p>
            <w:pPr>
              <w:ind w:left="480"/>
              <w:spacing w:after="0"/>
              <w:rPr>
                <w:sz w:val="20"/>
                <w:szCs w:val="20"/>
                <w:color w:val="auto"/>
              </w:rPr>
            </w:pPr>
            <w:r>
              <w:rPr>
                <w:rFonts w:ascii="Courier New" w:cs="Courier New" w:eastAsia="Courier New" w:hAnsi="Courier New"/>
                <w:sz w:val="15"/>
                <w:szCs w:val="15"/>
                <w:color w:val="auto"/>
              </w:rPr>
              <w:t>Modex</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Equity/Foreign</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$27,204,333</w:t>
            </w:r>
          </w:p>
        </w:tc>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r>
      <w:tr>
        <w:trPr>
          <w:trHeight w:val="172"/>
        </w:trPr>
        <w:tc>
          <w:tcPr>
            <w:tcW w:w="1400" w:type="dxa"/>
            <w:vAlign w:val="bottom"/>
          </w:tcPr>
          <w:p>
            <w:pPr>
              <w:spacing w:after="0"/>
              <w:rPr>
                <w:sz w:val="14"/>
                <w:szCs w:val="14"/>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Therapeutics</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Currency</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Translation</w:t>
            </w:r>
          </w:p>
        </w:tc>
        <w:tc>
          <w:tcPr>
            <w:tcW w:w="20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 company has not formally adopted a liquidation plan for this investment, liquidation may be necessary to meet operating cash flow requirements. Under the agreement with Modex, the company is restricted from selling its holding through December 23, 2000.</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5"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twenty full-time employees, of whom five have Ph.D. degrees, as well as two half-time employees. The equivalent of fifteen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7"/>
          </w:cols>
          <w:pgMar w:left="232" w:top="46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which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84" w:lineRule="exact"/>
        <w:rPr>
          <w:sz w:val="20"/>
          <w:szCs w:val="20"/>
          <w:color w:val="auto"/>
        </w:rPr>
      </w:pPr>
    </w:p>
    <w:p>
      <w:pPr>
        <w:ind w:left="520" w:right="325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 Inc.</w:t>
      </w:r>
    </w:p>
    <w:p>
      <w:pPr>
        <w:spacing w:after="0" w:line="176" w:lineRule="exact"/>
        <w:rPr>
          <w:rFonts w:ascii="Courier New" w:cs="Courier New" w:eastAsia="Courier New" w:hAnsi="Courier New"/>
          <w:sz w:val="15"/>
          <w:szCs w:val="15"/>
          <w:color w:val="auto"/>
        </w:rPr>
      </w:pPr>
    </w:p>
    <w:p>
      <w:pPr>
        <w:ind w:left="520" w:right="3079" w:hanging="170"/>
        <w:spacing w:after="0" w:line="241"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6" w:lineRule="exact"/>
        <w:rPr>
          <w:rFonts w:ascii="Courier New" w:cs="Courier New" w:eastAsia="Courier New" w:hAnsi="Courier New"/>
          <w:sz w:val="15"/>
          <w:szCs w:val="15"/>
          <w:color w:val="auto"/>
        </w:rPr>
      </w:pPr>
    </w:p>
    <w:p>
      <w:pPr>
        <w:ind w:left="520" w:right="3519" w:hanging="170"/>
        <w:spacing w:after="0" w:line="242"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461" w:right="1440" w:bottom="1440" w:gutter="0" w:footer="0" w:header="0"/>
        </w:sectPr>
      </w:pPr>
    </w:p>
    <w:bookmarkStart w:id="42" w:name="page43"/>
    <w:bookmarkEnd w:id="42"/>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439" w:firstLine="358"/>
        <w:spacing w:after="0"/>
        <w:rPr>
          <w:sz w:val="20"/>
          <w:szCs w:val="20"/>
          <w:color w:val="auto"/>
        </w:rPr>
      </w:pPr>
      <w:r>
        <w:rPr>
          <w:rFonts w:ascii="Courier New" w:cs="Courier New" w:eastAsia="Courier New" w:hAnsi="Courier New"/>
          <w:sz w:val="15"/>
          <w:szCs w:val="15"/>
          <w:color w:val="auto"/>
        </w:rPr>
        <w:t>The following table sets forth the name, age and position of each of our executive officers, key members of management,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AGE</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940" w:type="dxa"/>
            <w:vAlign w:val="bottom"/>
          </w:tcPr>
          <w:p>
            <w:pPr>
              <w:spacing w:after="0"/>
              <w:rPr>
                <w:sz w:val="24"/>
                <w:szCs w:val="24"/>
                <w:color w:val="auto"/>
              </w:rPr>
            </w:pP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w w:val="98"/>
              </w:rPr>
              <w:t>Acting President and Chief Executive</w:t>
            </w:r>
          </w:p>
        </w:tc>
      </w:tr>
      <w:tr>
        <w:trPr>
          <w:trHeight w:val="172"/>
        </w:trPr>
        <w:tc>
          <w:tcPr>
            <w:tcW w:w="39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Irving L. Weissman, M.D...................</w:t>
            </w: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w:t>
            </w:r>
          </w:p>
        </w:tc>
        <w:tc>
          <w:tcPr>
            <w:tcW w:w="328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48" w:lineRule="exact"/>
        <w:rPr>
          <w:sz w:val="20"/>
          <w:szCs w:val="20"/>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 was elected to the board of directors in 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79"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W. Dunbar, Jr., was appointed Acting President and Chief Executive Officer of the company effective as of February 1, 2000. Mr. Dunbar joined the company as Acting President of StemCells California, Inc., the company's wholly owned subsidiary, on November 8, 1999, and still holds this office. From September 1999 through the present, Mr. Dunbar has been a founding member of iCEO, LLC. From July 1991 until July 1999, Mr. Dunbar was President, Chief Executive Officer and a member of the Board of Directors of Metra Biosystems, a medical device company, which merged with Quidel Corporation during 1999. Prior to Metra Biosystems, Mr. Dunbar was a vice president of The Ares-Serono Group, a Swiss healthcare company, and served before that as a vice president of Amersham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182"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Donald Kennedy, Ph.D., has served as a director of the company since July 1999. Dr. Kennedy is the Bing Professor of Environmental Science, Professor of Education, and President Emeritus of Stanford University. He is Editor-in-Chief of SCIENCE magazine. He is also co-director of the Center for Environmental Science and Policy at Stanford. From 1960 to 1977, Dr. Kennedy held various faculty positions at Stanford University. From 1977 to 1979, he served as Commissioner at the U.S. Food and Drug Administration. From 1979 to 1980, he served as Provost of Stanford University. From 1980 to 1992, Dr. Kennedy served as President of Stanford University, and from 1992 to present, he has served as a Stanford faculty member. He is Chairman of Children Now; a member of the National Academy of Sciences, the National Institute of Medicine, and the American Philosophical Society; and a fellow of the American Academy of Arts and Sciences, the American Association for the Advancement of Science, and the California Academy of Sciences. Dr. Kennedy is a member of the Board of Directors of AxyS Pharmaceuticals, Inc., and Alzeta Corp. Dr. Kennedy holds a Ph.D. in biology from Harvard University.</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1" w:right="1440" w:bottom="1440" w:gutter="0" w:footer="0" w:header="0"/>
        </w:sectPr>
      </w:pPr>
    </w:p>
    <w:bookmarkStart w:id="43" w:name="page44"/>
    <w:bookmarkEnd w:id="43"/>
    <w:p>
      <w:pPr>
        <w:ind w:left="520" w:right="3079" w:hanging="170"/>
        <w:spacing w:after="0" w:line="242"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 J. Levin is a founder of the company and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Tularik, Inc.</w:t>
      </w:r>
    </w:p>
    <w:p>
      <w:pPr>
        <w:spacing w:after="0" w:line="178"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Director, is the Karel and Avice Beekhuis Professor of Cancer Biology, Professor of Pathology and Professor of Developmental Biology at Stanford University. Stanford has employed Dr. Weissman since July 1967, and he has been a Faculty member since January 1969. He has been a full professor of pathology since September 1987, and also of developmental biology since July 1989. Since October 1990, Dr. Weissman has also served as a professor of biology (by courtesy). He has been Chairman of the Stanford University Immunology Program since 1986. Dr. Weissman was a cofounder of SyStemix, Inc., and Chairman of its Scientific Advisory Board. He has served on the Scientific Advisory Boards of 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8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Our Restated Certificate of Incorporation and Amended and Restated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159" w:firstLine="358"/>
        <w:spacing w:after="0" w:line="241" w:lineRule="auto"/>
        <w:rPr>
          <w:sz w:val="20"/>
          <w:szCs w:val="20"/>
          <w:color w:val="auto"/>
        </w:rPr>
      </w:pPr>
      <w:r>
        <w:rPr>
          <w:rFonts w:ascii="Courier New" w:cs="Courier New" w:eastAsia="Courier New" w:hAnsi="Courier New"/>
          <w:sz w:val="15"/>
          <w:szCs w:val="15"/>
          <w:color w:val="auto"/>
        </w:rPr>
        <w:t>Our board of directors has an audit committee and compensation committee. The board may also establish other committees to assist in the discharge of its responsibilities.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The audit committee is currently comprised of Dr. Schwartz and Dr. Kennedy.</w:t>
      </w:r>
    </w:p>
    <w:p>
      <w:pPr>
        <w:spacing w:after="0" w:line="178"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duties of the compensation committee are to make recommendations to the board and our management concerning salaries in general, determine executive compensation, and approve incentive compensation. The compensation committee is currently comprised of Mr. Levin and Dr. Schwartz.</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3" w:right="1440" w:bottom="1440" w:gutter="0" w:footer="0" w:header="0"/>
        </w:sectPr>
      </w:pPr>
    </w:p>
    <w:bookmarkStart w:id="44" w:name="page45"/>
    <w:bookmarkEnd w:id="44"/>
    <w:p>
      <w:pPr>
        <w:jc w:val="center"/>
        <w:ind w:right="4212"/>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left="8" w:right="4300"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compensation paid by us to our Chief Executive Officer during the three most recent fiscal years ended December 31, and the two other most highly compensated executive officers who served in such capacities during the fiscal year ended December 31, 1999 but who were not serving in such capacities as of the end of such fiscal year. There were no other persons serving as executive officers at the end of such fiscal year.</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88"/>
        </w:trPr>
        <w:tc>
          <w:tcPr>
            <w:tcW w:w="2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500" w:type="dxa"/>
            <w:vAlign w:val="bottom"/>
            <w:gridSpan w:val="2"/>
          </w:tcPr>
          <w:p>
            <w:pPr>
              <w:jc w:val="right"/>
              <w:ind w:right="1045"/>
              <w:spacing w:after="0"/>
              <w:rPr>
                <w:sz w:val="20"/>
                <w:szCs w:val="20"/>
                <w:color w:val="auto"/>
              </w:rPr>
            </w:pPr>
            <w:r>
              <w:rPr>
                <w:rFonts w:ascii="Courier New" w:cs="Courier New" w:eastAsia="Courier New" w:hAnsi="Courier New"/>
                <w:sz w:val="15"/>
                <w:szCs w:val="15"/>
                <w:color w:val="auto"/>
              </w:rPr>
              <w:t>AWARDS</w:t>
            </w:r>
          </w:p>
        </w:tc>
        <w:tc>
          <w:tcPr>
            <w:tcW w:w="1400" w:type="dxa"/>
            <w:vAlign w:val="bottom"/>
          </w:tcPr>
          <w:p>
            <w:pPr>
              <w:spacing w:after="0"/>
              <w:rPr>
                <w:sz w:val="24"/>
                <w:szCs w:val="2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LONG TERM</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gridSpan w:val="3"/>
          </w:tcPr>
          <w:p>
            <w:pPr>
              <w:jc w:val="right"/>
              <w:ind w:right="1125"/>
              <w:spacing w:after="0"/>
              <w:rPr>
                <w:sz w:val="20"/>
                <w:szCs w:val="20"/>
                <w:color w:val="auto"/>
              </w:rPr>
            </w:pPr>
            <w:r>
              <w:rPr>
                <w:rFonts w:ascii="Courier New" w:cs="Courier New" w:eastAsia="Courier New" w:hAnsi="Courier New"/>
                <w:sz w:val="15"/>
                <w:szCs w:val="15"/>
                <w:color w:val="auto"/>
              </w:rPr>
              <w:t>ANNUAL COMPENSATION</w:t>
            </w:r>
          </w:p>
        </w:tc>
        <w:tc>
          <w:tcPr>
            <w:tcW w:w="250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3"/>
              </w:rPr>
              <w:t>-----------------------------------------</w:t>
            </w:r>
          </w:p>
        </w:tc>
        <w:tc>
          <w:tcPr>
            <w:tcW w:w="17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RESTRICTED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spacing w:after="0"/>
              <w:rPr>
                <w:sz w:val="14"/>
                <w:szCs w:val="14"/>
                <w:color w:val="auto"/>
              </w:rPr>
            </w:pPr>
          </w:p>
        </w:tc>
      </w:tr>
      <w:tr>
        <w:trPr>
          <w:trHeight w:val="172"/>
        </w:trPr>
        <w:tc>
          <w:tcPr>
            <w:tcW w:w="2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OTHER ANNUAL</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4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7"/>
              </w:rPr>
              <w:t>NAME AND PRINCIPAL POSITION</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1300" w:type="dxa"/>
            <w:vAlign w:val="bottom"/>
          </w:tcPr>
          <w:p>
            <w:pPr>
              <w:ind w:left="40"/>
              <w:spacing w:after="0"/>
              <w:rPr>
                <w:sz w:val="20"/>
                <w:szCs w:val="20"/>
                <w:color w:val="auto"/>
              </w:rPr>
            </w:pPr>
            <w:r>
              <w:rPr>
                <w:rFonts w:ascii="Courier New" w:cs="Courier New" w:eastAsia="Courier New" w:hAnsi="Courier New"/>
                <w:sz w:val="15"/>
                <w:szCs w:val="15"/>
                <w:color w:val="auto"/>
              </w:rPr>
              <w:t>SALARY($)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BONUS($)</w:t>
            </w:r>
          </w:p>
        </w:tc>
        <w:tc>
          <w:tcPr>
            <w:tcW w:w="1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COMPENSATION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OPTIONS (#)</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w w:val="91"/>
              </w:rPr>
              <w:t>- ---------------------------</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279,974</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4667(2)</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286,553</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150,000(3)</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11,330(4)</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Officer(1)</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68,750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300,000(5)</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76,268(6)</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Phillip K. Yachmetz......</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406,731(8)</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12,000</w:t>
            </w:r>
          </w:p>
        </w:tc>
        <w:tc>
          <w:tcPr>
            <w:tcW w:w="1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71,355(9)</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155,780</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10,000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86,695(10)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And General Counsel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Acting Chief Financial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Officer and Treasurer(7)</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Moses Goddard, M.D.......</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195,176(12)</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18,000</w:t>
            </w:r>
          </w:p>
        </w:tc>
        <w:tc>
          <w:tcPr>
            <w:tcW w:w="1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7,921(13)</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Chief</w:t>
            </w:r>
          </w:p>
        </w:tc>
        <w:tc>
          <w:tcPr>
            <w:tcW w:w="112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188,957</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67,875(14)</w:t>
            </w:r>
          </w:p>
        </w:tc>
        <w:tc>
          <w:tcPr>
            <w:tcW w:w="14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w:t>
            </w: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Technical Officer Cell</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Encapsulation (11)</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6" w:lineRule="exact"/>
        <w:rPr>
          <w:rFonts w:ascii="Courier New" w:cs="Courier New" w:eastAsia="Courier New" w:hAnsi="Courier New"/>
          <w:sz w:val="15"/>
          <w:szCs w:val="15"/>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5" w:lineRule="exact"/>
        <w:rPr>
          <w:rFonts w:ascii="Courier New" w:cs="Courier New" w:eastAsia="Courier New" w:hAnsi="Courier New"/>
          <w:sz w:val="15"/>
          <w:szCs w:val="15"/>
          <w:color w:val="auto"/>
        </w:rPr>
      </w:pPr>
    </w:p>
    <w:p>
      <w:pPr>
        <w:ind w:left="348" w:right="4740" w:hanging="348"/>
        <w:spacing w:after="0" w:line="274" w:lineRule="auto"/>
        <w:tabs>
          <w:tab w:leader="none" w:pos="34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401(k)Plan.</w:t>
      </w:r>
    </w:p>
    <w:p>
      <w:pPr>
        <w:spacing w:after="0" w:line="153" w:lineRule="exact"/>
        <w:rPr>
          <w:rFonts w:ascii="Courier New" w:cs="Courier New" w:eastAsia="Courier New" w:hAnsi="Courier New"/>
          <w:sz w:val="14"/>
          <w:szCs w:val="14"/>
          <w:color w:val="auto"/>
        </w:rPr>
      </w:pPr>
    </w:p>
    <w:p>
      <w:pPr>
        <w:ind w:left="348" w:right="422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option grant for 200,000 shares was reduced to 150,000 shares upon there pricing of the grant effective as of July 10, 1998 at a price of $1.28 per share.</w:t>
      </w:r>
    </w:p>
    <w:p>
      <w:pPr>
        <w:spacing w:after="0" w:line="176" w:lineRule="exact"/>
        <w:rPr>
          <w:rFonts w:ascii="Courier New" w:cs="Courier New" w:eastAsia="Courier New" w:hAnsi="Courier New"/>
          <w:sz w:val="15"/>
          <w:szCs w:val="15"/>
          <w:color w:val="auto"/>
        </w:rPr>
      </w:pPr>
    </w:p>
    <w:p>
      <w:pPr>
        <w:ind w:left="348" w:right="430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advance for relocation expenses of $75,000 and fair market value of $1,268 of our matching contributions of common stock to Dr. Rose's account in our 401(k) plan.</w:t>
      </w:r>
    </w:p>
    <w:p>
      <w:pPr>
        <w:spacing w:after="0" w:line="176" w:lineRule="exact"/>
        <w:rPr>
          <w:rFonts w:ascii="Courier New" w:cs="Courier New" w:eastAsia="Courier New" w:hAnsi="Courier New"/>
          <w:sz w:val="15"/>
          <w:szCs w:val="15"/>
          <w:color w:val="auto"/>
        </w:rPr>
      </w:pPr>
    </w:p>
    <w:p>
      <w:pPr>
        <w:ind w:left="348" w:right="4660"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Yachmetz was appointed Acting Chief Financial Officer and Treasurer effective as of April 2, 1999. The term of Mr. Yachmetz' Employment Agreement expired on October 31, 1999.</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1368"/>
          </w:cols>
          <w:pgMar w:left="232" w:top="461" w:right="299" w:bottom="1440" w:gutter="0" w:footer="0" w:header="0"/>
        </w:sectPr>
      </w:pPr>
    </w:p>
    <w:bookmarkStart w:id="45" w:name="page46"/>
    <w:bookmarkEnd w:id="45"/>
    <w:p>
      <w:pPr>
        <w:jc w:val="both"/>
        <w:ind w:left="348" w:right="3159" w:hanging="348"/>
        <w:spacing w:after="0" w:line="241"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$204,807 of compensation and accrued and unused vacation paid upon the expiration of Mr. Yachmetz' Employment Agreement in accordance with the terms of such agreement.</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$15,304 as the fair market value of 9,601 shares of our common stock earned in 1998 and issued in 1999, $3,990 of fair market value of our matching contributions of common stock to Mr. Yachmetz' account in our 401(k) Plan and $52,061 of temporary living and relocation expenses adjusted for taxes.</w:t>
      </w:r>
    </w:p>
    <w:p>
      <w:pPr>
        <w:spacing w:after="0" w:line="175"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$14,724 of temporary living and relocation expenses adjusted for taxes paid to Mr. Yachmetz and personal use of a company vehicle. Also represents $1,827 of fair market value of our matching contributions of common stock to Mr. Yachmetz' account in our 401(k) Plan.</w:t>
      </w:r>
    </w:p>
    <w:p>
      <w:pPr>
        <w:spacing w:after="0" w:line="174" w:lineRule="exact"/>
        <w:rPr>
          <w:rFonts w:ascii="Courier New" w:cs="Courier New" w:eastAsia="Courier New" w:hAnsi="Courier New"/>
          <w:sz w:val="15"/>
          <w:szCs w:val="15"/>
          <w:color w:val="auto"/>
        </w:rPr>
      </w:pPr>
    </w:p>
    <w:p>
      <w:pPr>
        <w:ind w:left="348" w:right="3159" w:hanging="348"/>
        <w:spacing w:after="0" w:line="241"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Goddard resigned as a director and officer of the company effective as of August 30, 1999 and served as a consultant to the company through March 28, 2000.</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$70,945 of compensation paid to Dr. Goddard in accordance with the severance agreement entered into with us.</w:t>
      </w:r>
    </w:p>
    <w:p>
      <w:pPr>
        <w:spacing w:after="0" w:line="176" w:lineRule="exact"/>
        <w:rPr>
          <w:rFonts w:ascii="Courier New" w:cs="Courier New" w:eastAsia="Courier New" w:hAnsi="Courier New"/>
          <w:sz w:val="15"/>
          <w:szCs w:val="15"/>
          <w:color w:val="auto"/>
        </w:rPr>
      </w:pPr>
    </w:p>
    <w:p>
      <w:pPr>
        <w:ind w:left="348" w:right="3699" w:hanging="348"/>
        <w:spacing w:after="0"/>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market value of 4,687 shares of our common stock granted to Dr. Goddard through our 1992 Equity Incentive Plan.</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4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options in the total original amount of 90,500 shares which was reduced to 67,875 shares as a result of the employee equity incentive repricing plan approved by the Board of Directors on July 10, 1998.</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7"/>
          </w:cols>
          <w:pgMar w:left="232" w:top="463" w:right="1440" w:bottom="1440" w:gutter="0" w:footer="0" w:header="0"/>
        </w:sectPr>
      </w:pPr>
    </w:p>
    <w:bookmarkStart w:id="46" w:name="page47"/>
    <w:bookmarkEnd w:id="46"/>
    <w:p>
      <w:pPr>
        <w:ind w:left="2688"/>
        <w:spacing w:after="0"/>
        <w:rPr>
          <w:sz w:val="20"/>
          <w:szCs w:val="20"/>
          <w:color w:val="auto"/>
        </w:rPr>
      </w:pPr>
      <w:r>
        <w:rPr>
          <w:rFonts w:ascii="Courier New" w:cs="Courier New" w:eastAsia="Courier New" w:hAnsi="Courier New"/>
          <w:sz w:val="15"/>
          <w:szCs w:val="15"/>
          <w:color w:val="auto"/>
        </w:rPr>
        <w:t>SELLING STOCKHOLDERS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MEMBERS OF THE COMPANY'S BOARD</w:t>
      </w:r>
    </w:p>
    <w:p>
      <w:pPr>
        <w:spacing w:after="0" w:line="176" w:lineRule="exact"/>
        <w:rPr>
          <w:sz w:val="20"/>
          <w:szCs w:val="20"/>
          <w:color w:val="auto"/>
        </w:rPr>
      </w:pPr>
    </w:p>
    <w:p>
      <w:pPr>
        <w:ind w:left="8" w:right="3959" w:firstLine="358"/>
        <w:spacing w:after="0" w:line="260" w:lineRule="auto"/>
        <w:rPr>
          <w:sz w:val="20"/>
          <w:szCs w:val="20"/>
          <w:color w:val="auto"/>
        </w:rPr>
      </w:pPr>
      <w:r>
        <w:rPr>
          <w:rFonts w:ascii="Courier New" w:cs="Courier New" w:eastAsia="Courier New" w:hAnsi="Courier New"/>
          <w:sz w:val="14"/>
          <w:szCs w:val="14"/>
          <w:color w:val="auto"/>
        </w:rPr>
        <w:t>Dr. Irving Weissman and Mark J. Levin, two members of our Board of Directors, will be selling shares of common stock in this offering.</w:t>
      </w:r>
    </w:p>
    <w:p>
      <w:pPr>
        <w:ind w:left="8" w:right="3159"/>
        <w:spacing w:after="0" w:line="260" w:lineRule="auto"/>
        <w:rPr>
          <w:sz w:val="20"/>
          <w:szCs w:val="20"/>
          <w:color w:val="auto"/>
        </w:rPr>
      </w:pPr>
      <w:r>
        <w:rPr>
          <w:rFonts w:ascii="Courier New" w:cs="Courier New" w:eastAsia="Courier New" w:hAnsi="Courier New"/>
          <w:sz w:val="14"/>
          <w:szCs w:val="14"/>
          <w:color w:val="auto"/>
        </w:rPr>
        <w:t>Dr. Weissman and Mr. Levin acquired their shares pursuant to a 6% cumulative convertible preferred stock financing in April, 2000, which is described in the section titled "Relationships and Transactions with Certain Related Parties." Both Dr. Weissman and Mr. Levin are party to a registration rights agreement in which we agreed to register their shares of Common Stock upon their request and to use our best efforts to keep the registration statement effective for five</w:t>
      </w:r>
    </w:p>
    <w:p>
      <w:pPr>
        <w:spacing w:after="0" w:line="1" w:lineRule="exact"/>
        <w:rPr>
          <w:sz w:val="20"/>
          <w:szCs w:val="20"/>
          <w:color w:val="auto"/>
        </w:rPr>
      </w:pPr>
    </w:p>
    <w:p>
      <w:pPr>
        <w:jc w:val="both"/>
        <w:ind w:left="8" w:right="3439" w:hanging="8"/>
        <w:spacing w:after="0" w:line="242" w:lineRule="auto"/>
        <w:tabs>
          <w:tab w:leader="none" w:pos="36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or until all of their registered shares of StemCells, Inc. Common Stock are sold, whichever comes first. Registration of these shares does not necessarily mean that the selling stockholders will sell all or any of the shares.</w:t>
      </w:r>
    </w:p>
    <w:p>
      <w:pPr>
        <w:spacing w:after="0" w:line="175"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material relationships between Dr. Weissman, Mr. Levin and StemCells, Inc. are as follows: Mark J. Levin is a Class I Director, and from inception until January 1990 and from May 1990 until February 1991, he served as our President and acting Chief Executive Officer. Irving L. Weissman, M.D. is a Class II Director. In addition, both Dr. Weissman and Mr. Levin may donate or transfer as gifts some or all of their StemCells, Inc. shares, or may transfer their shares for no value to other beneficial owners. The selling stockholders will include these donees or transferees as selling stockholders in a prospectus supplement if the donees or transferees wish to use this prospectus to re-offer the shares.</w:t>
      </w:r>
    </w:p>
    <w:p>
      <w:pPr>
        <w:spacing w:after="0" w:line="17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SALES BY MILLENNIUM PARTNERS, L.P.</w:t>
      </w:r>
    </w:p>
    <w:p>
      <w:pPr>
        <w:spacing w:after="0" w:line="176"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Millennium Partners, L.P. and May Davis Group, Inc. and four of its affiliates also will be selling shares in this offering. On August 3, 2000, we issued 923,521 shares of Common Stock to Millennium Partners, L.P., or the Fund. At the same time we also issued to Millennium Partners a callable warrant to purchase 101,587 shares of Common Stock and an adjustable warrant for a number of shares, to be determined on eight dates beginning six months after the closing and then every three months thereafter. On August 30, 2000 we issued an additional 180,914 shares to the Fund, together with a callable warrant to purchase 19,900 shares of Common Stock and an adjustable warrant for a number of shares, to be determined on eight dates beginning six months after the closing and then every three months thereafter. On November 1, 2000, we agreed with Millennium to cancel the adjustable warrant issued on August 30, 2000 and to decrease the number of shares for which the adjustable warrant issued on August 3, 2000 may be exercisable. In connection with the Millennium Partners transaction, we issued warrants for a total of 100,000 shares of Common Stock to May Davis Group, Inc., who acted as placement agent for the transaction, and four of its affiliates. These warrants expire on August 3, 2005.</w:t>
      </w:r>
    </w:p>
    <w:p>
      <w:pPr>
        <w:spacing w:after="0" w:line="337"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We entered into a registration rights agreement with Millennium Partners in which we agreed to register the shares of Common Stock purchased by Millennium partners and issuable upon exercise of the warrants issued to Millennium Partners. We agreed to use commercially reasonable efforts to keep the registration statement in effect for five years, until all shares covered by the registration statement are eligible for resale pursuant to Rule 144(k), or until Millennium Partners and its transferees no longer hold the shares covered by the registration statement, whichever occurs first. We also agreed to include in this registration statement the shares issuable upon exercise of the warrants issued to May Davis and its affiliates.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461" w:right="1440" w:bottom="1440" w:gutter="0" w:footer="0" w:header="0"/>
        </w:sectPr>
      </w:pPr>
    </w:p>
    <w:bookmarkStart w:id="47" w:name="page48"/>
    <w:bookmarkEnd w:id="47"/>
    <w:p>
      <w:pPr>
        <w:jc w:val="center"/>
        <w:ind w:right="3159"/>
        <w:spacing w:after="0"/>
        <w:rPr>
          <w:sz w:val="20"/>
          <w:szCs w:val="20"/>
          <w:color w:val="auto"/>
        </w:rPr>
      </w:pPr>
      <w:r>
        <w:rPr>
          <w:rFonts w:ascii="Courier New" w:cs="Courier New" w:eastAsia="Courier New" w:hAnsi="Courier New"/>
          <w:sz w:val="15"/>
          <w:szCs w:val="15"/>
          <w:color w:val="auto"/>
        </w:rPr>
        <w:t>SECURITY OWNERSHIP OF THE SELLING STOCKHOLDERS, CERTAIN BENEFICIAL OWNERS AND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w:t>
      </w:r>
    </w:p>
    <w:p>
      <w:pPr>
        <w:spacing w:after="0" w:line="176"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The following table shows information regarding the beneficial ownership of our common stock as of August 30, 2000 for:</w:t>
      </w:r>
    </w:p>
    <w:p>
      <w:pPr>
        <w:spacing w:after="0" w:line="176" w:lineRule="exact"/>
        <w:rPr>
          <w:sz w:val="20"/>
          <w:szCs w:val="20"/>
          <w:color w:val="auto"/>
        </w:rPr>
      </w:pPr>
    </w:p>
    <w:p>
      <w:pPr>
        <w:ind w:left="520" w:right="3079"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selling stockholder;</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address for each listed director and officer is c/o StemCells, Inc., 525 Del Rey Avenue, Suite C, Sunnyvale, CA 94085.</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common stock subject to options or warrants held by that person that are currently exercisable or will become exercisable within 60 days of August 15, 2000, assuming that this offering occurs in that 60-day period, but we have not deemed these shares to be outstanding for computing the percentage ownership of any other person. The shares listed below for the selling stockholders represent all of the shares that each selling stockholder currently beneficially owns, the number of shares each of them may offer and the number of shares each of them will own after the offering assuming they sell all of the shares. To our knowledge, except as set forth in the footnotes below, each stockholder identified in the table possesses sole voting and investment power with respect to all shares of common stock shown as beneficially owned by that stockholder. Beneficial ownership percentage is based on 20,538,742 shares of our common stock outstanding on August 15, 2000 and as adjusted for unexercised options and warrants as of that date as noted below and 180,914 shares and 19,900 warrants issued to one of the Selling Shareholders on August 30, 2000.</w:t>
      </w:r>
    </w:p>
    <w:p>
      <w:pPr>
        <w:spacing w:after="0" w:line="35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number of shares of our Common Stock that will be issuable upon exercise of the warrants issued to Millennium Partners is based upon fluctuations in the market price and the number of shares of our Common Stock that will be issuable upon conversion of the Preferred Stock held by Messrs. Weissman and Levin is subject to anti-dilution provisions, so the actual number of shares of our Common Stock that will be issuable and beneficially owned upon exercise of the warrants and conversion of the Preferred Stock cannot be determined at this time. As a result, we have agreed to register, and in the registration statement of which this prospectus is a part, we are registering a number of shares of Common Stock that is greater than the number of shares of Common Stock currently beneficially owned by the selling stockholders.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461" w:right="1440" w:bottom="1440" w:gutter="0" w:footer="0" w:header="0"/>
        </w:sectPr>
      </w:pPr>
    </w:p>
    <w:bookmarkStart w:id="48" w:name="page49"/>
    <w:bookmarkEnd w:id="48"/>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selling stockholders may offer all or some of their shares. All numbers in the following table are based on information obtained by questionnaires received by the company.</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SHARES OF COMMON</w:t>
            </w:r>
          </w:p>
        </w:tc>
      </w:tr>
      <w:tr>
        <w:trPr>
          <w:trHeight w:val="172"/>
        </w:trPr>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9"/>
              </w:rPr>
              <w:t>STOCK BENEFICIALLY</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405"/>
              <w:spacing w:after="0"/>
              <w:rPr>
                <w:sz w:val="20"/>
                <w:szCs w:val="20"/>
                <w:color w:val="auto"/>
              </w:rPr>
            </w:pPr>
            <w:r>
              <w:rPr>
                <w:rFonts w:ascii="Courier New" w:cs="Courier New" w:eastAsia="Courier New" w:hAnsi="Courier New"/>
                <w:sz w:val="15"/>
                <w:szCs w:val="15"/>
                <w:color w:val="auto"/>
              </w:rPr>
              <w:t>SHARES OF COMMON STOCK</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SHARES OF COMMON</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8"/>
              </w:rPr>
              <w:t>OWNED AFTER THIS</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BENEFICIALLY OWNED PRIOR TO</w:t>
            </w:r>
          </w:p>
        </w:tc>
        <w:tc>
          <w:tcPr>
            <w:tcW w:w="17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STOCK OFFERED</w:t>
            </w:r>
          </w:p>
        </w:tc>
        <w:tc>
          <w:tcPr>
            <w:tcW w:w="2120" w:type="dxa"/>
            <w:vAlign w:val="bottom"/>
            <w:gridSpan w:val="2"/>
          </w:tcPr>
          <w:p>
            <w:pPr>
              <w:jc w:val="center"/>
              <w:ind w:right="145"/>
              <w:spacing w:after="0"/>
              <w:rPr>
                <w:sz w:val="20"/>
                <w:szCs w:val="20"/>
                <w:color w:val="auto"/>
              </w:rPr>
            </w:pPr>
            <w:r>
              <w:rPr>
                <w:rFonts w:ascii="Courier New" w:cs="Courier New" w:eastAsia="Courier New" w:hAnsi="Courier New"/>
                <w:sz w:val="15"/>
                <w:szCs w:val="15"/>
                <w:color w:val="auto"/>
                <w:w w:val="97"/>
              </w:rPr>
              <w:t>OFFERING</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845"/>
              <w:spacing w:after="0"/>
              <w:rPr>
                <w:sz w:val="20"/>
                <w:szCs w:val="20"/>
                <w:color w:val="auto"/>
              </w:rPr>
            </w:pPr>
            <w:r>
              <w:rPr>
                <w:rFonts w:ascii="Courier New" w:cs="Courier New" w:eastAsia="Courier New" w:hAnsi="Courier New"/>
                <w:sz w:val="15"/>
                <w:szCs w:val="15"/>
                <w:color w:val="auto"/>
              </w:rPr>
              <w:t>THIS OFFERING</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HEREBY</w:t>
            </w:r>
          </w:p>
        </w:tc>
        <w:tc>
          <w:tcPr>
            <w:tcW w:w="2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28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NUMBER</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NUMBER OF</w:t>
            </w:r>
          </w:p>
        </w:tc>
        <w:tc>
          <w:tcPr>
            <w:tcW w:w="1200" w:type="dxa"/>
            <w:vAlign w:val="bottom"/>
          </w:tcPr>
          <w:p>
            <w:pPr>
              <w:spacing w:after="0"/>
              <w:rPr>
                <w:sz w:val="14"/>
                <w:szCs w:val="14"/>
                <w:color w:val="auto"/>
              </w:rPr>
            </w:pPr>
          </w:p>
        </w:tc>
        <w:tc>
          <w:tcPr>
            <w:tcW w:w="17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OF</w:t>
            </w:r>
          </w:p>
        </w:tc>
        <w:tc>
          <w:tcPr>
            <w:tcW w:w="1080" w:type="dxa"/>
            <w:vAlign w:val="bottom"/>
          </w:tcPr>
          <w:p>
            <w:pPr>
              <w:spacing w:after="0"/>
              <w:rPr>
                <w:sz w:val="14"/>
                <w:szCs w:val="14"/>
                <w:color w:val="auto"/>
              </w:rPr>
            </w:pP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PERCENTAGE</w:t>
            </w:r>
          </w:p>
        </w:tc>
        <w:tc>
          <w:tcPr>
            <w:tcW w:w="17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SHARES</w:t>
            </w:r>
          </w:p>
        </w:tc>
        <w:tc>
          <w:tcPr>
            <w:tcW w:w="104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SHARES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PERCENTAGE</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Donald Kennedy,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9,234(1)</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9,234</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390,726(2)</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154,287</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139,180(3)</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0.7</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139,180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0.7</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600,298(4)</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472,743</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363,859</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50,000(5)</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50,000</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officers as a group (5</w:t>
            </w: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1,189,439(6)</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5.6</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945,486</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716,561</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1,225,922(7)</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2,160,000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May Davis Group....................</w:t>
            </w:r>
          </w:p>
        </w:tc>
        <w:tc>
          <w:tcPr>
            <w:tcW w:w="16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100,000(8)</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0.5</w:t>
            </w:r>
          </w:p>
        </w:tc>
        <w:tc>
          <w:tcPr>
            <w:tcW w:w="17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hanging="188"/>
        <w:spacing w:after="0"/>
        <w:tabs>
          <w:tab w:leader="none" w:pos="18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76" w:lineRule="exact"/>
        <w:rPr>
          <w:sz w:val="20"/>
          <w:szCs w:val="20"/>
          <w:color w:val="auto"/>
        </w:rPr>
      </w:pPr>
    </w:p>
    <w:p>
      <w:pPr>
        <w:ind w:left="348" w:right="3439" w:hanging="348"/>
        <w:spacing w:after="0" w:line="242" w:lineRule="auto"/>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 a Cayman Islands limited partnership, is a private investment partnership whose general partners are Millennium Management, L.L.C., a Delaware limited liability company whose managing member is Israel A. Englander, and Englander (Cayman Islands) Limited, a Cayman Islands exempted company. Both Millennium Management, L.L.C., and Englander (Cayman Islands) Limited are controlled by Mr. Englander.</w:t>
      </w:r>
    </w:p>
    <w:p>
      <w:pPr>
        <w:spacing w:after="0" w:line="176" w:lineRule="exact"/>
        <w:rPr>
          <w:sz w:val="20"/>
          <w:szCs w:val="20"/>
          <w:color w:val="auto"/>
        </w:rPr>
      </w:pPr>
    </w:p>
    <w:p>
      <w:pPr>
        <w:ind w:left="348" w:right="333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9,234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27,555 shares issuable upon exercise of stock options exercisable within 60 days. Includes 198,871 shares issuable upon conversion of cumulative convertible preferred shares at the currently applicable conversion price, and a warrant to purchase 37,500 shares.</w:t>
      </w:r>
    </w:p>
    <w:p>
      <w:pPr>
        <w:spacing w:after="0" w:line="174"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139,180 shares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31,250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Includes a total of 50,791 shares owned by trusts for the benefit of Dr. Weissman's children as to which he disclaims beneficial ownership. Also includes a warrant to purchase 37,500 shares.</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50,000 shares issuable upon exercise of stock options exercisable within 60 days. Mr. Dunbar was appointed Acting President and Chief Executive Officer of our wholly owned subsidiary, StemCells</w:t>
      </w:r>
    </w:p>
    <w:p>
      <w:pPr>
        <w:spacing w:after="0" w:line="4" w:lineRule="exact"/>
        <w:rPr>
          <w:rFonts w:ascii="Courier New" w:cs="Courier New" w:eastAsia="Courier New" w:hAnsi="Courier New"/>
          <w:sz w:val="15"/>
          <w:szCs w:val="15"/>
          <w:color w:val="auto"/>
        </w:rPr>
      </w:pPr>
    </w:p>
    <w:p>
      <w:pPr>
        <w:ind w:left="34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California, Inc., effective as of November 8, 1999, and was appointed Acting President and Chief Executive Officer of the company effective as of February 1, 2000.</w:t>
      </w:r>
    </w:p>
    <w:p>
      <w:pPr>
        <w:spacing w:after="0" w:line="176" w:lineRule="exact"/>
        <w:rPr>
          <w:rFonts w:ascii="Courier New" w:cs="Courier New" w:eastAsia="Courier New" w:hAnsi="Courier New"/>
          <w:sz w:val="15"/>
          <w:szCs w:val="15"/>
          <w:color w:val="auto"/>
        </w:rPr>
      </w:pPr>
    </w:p>
    <w:p>
      <w:pPr>
        <w:ind w:left="348" w:right="351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339,379 shares exercisable upon exercise of warrants and stock options exercisable within 60 days.</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180,914 shares issued as of August 30, 2000 and 19,900 shares issuable upon exercise of warrants issued together with those shares. Includes 101,587 shares issuable upon exercise of warrants issued August 3, 2000.</w:t>
      </w:r>
    </w:p>
    <w:p>
      <w:pPr>
        <w:spacing w:after="0" w:line="174"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issuable upon exercise of warrants held by four affiliates of May Davis Group.</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463" w:right="1440" w:bottom="1440" w:gutter="0" w:footer="0" w:header="0"/>
        </w:sectPr>
      </w:pPr>
    </w:p>
    <w:bookmarkStart w:id="49" w:name="page50"/>
    <w:bookmarkEnd w:id="49"/>
    <w:p>
      <w:pPr>
        <w:ind w:left="1340"/>
        <w:spacing w:after="0"/>
        <w:rPr>
          <w:sz w:val="20"/>
          <w:szCs w:val="20"/>
          <w:color w:val="auto"/>
        </w:rPr>
      </w:pPr>
      <w:r>
        <w:rPr>
          <w:rFonts w:ascii="Courier New" w:cs="Courier New" w:eastAsia="Courier New" w:hAnsi="Courier New"/>
          <w:sz w:val="15"/>
          <w:szCs w:val="15"/>
          <w:color w:val="auto"/>
        </w:rPr>
        <w:t>RELATIONSHIP AND TRANSACTIONS WITH RELATED PARTIES</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to serve as a consultant to us rendering strategic business advice and consulting services, including assistance in the negotiation and consummation of strategic collaboration transactions specified by us. Under terms of an agreement dated December 19, 1998, and amended as of July 1, 1999 (the "Letter Agreement") Dr. Schwartz agreed to serve as a Director and Chairman of the Board of Directors of the Company for a term expiring at the 2001 Annual Meeting of Stockholders. The Letter Agreement incorporates certain payments provided for under a consulting services agreement dated July 27, 1998, and amended as of December 19, 1998 (the "Consulting Services Agreement"). As a result, Dr. Schwartz is entitled to a retainer of $192,000 per year plus $1,500 for each Board meeting or Committee meeting (if held at a date and time separate from the Board meeting) physically attended and $500 for each Board meeting or Committee meeting (if held at a date and time separate from the Board meeting) held by conference call, payable quarterly in arrears. Dr. Schwartz is obligated to spend no less than thirty business days per calendar quarter devoted to the performance of his duties under the Letter Agreement. In the event Dr. Schwartz devotes more than thirty business days in any calendar quarter to the performance of his duties, Dr. Schwartz is entitled to receive additional compensation at the rate of $1,500 per day. Under the Letter Agreement,</w:t>
      </w:r>
    </w:p>
    <w:p>
      <w:pPr>
        <w:spacing w:after="0" w:line="16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was granted a stock option covering 40,000 shares of Common Stock that vests in equal portions on the last day of each of the 29 months of the term of the Letter Agreement. By virtue of provisions incorporated from the Consulting Services Agreement, Dr. Schwartz also holds an option to purchase 76,000 shares of the Company's Common Stock at $1.281 per share, the fair market value of the Company's Common Stock at the time the option was granted, vesting at a rate of 3,167 shares per month for the ensuing 23 months after the date of the grant, with a final vesting of 3,159 shares in the 24th month, plus another option to purchase 48,000 shares of Common Stock at the then current fair market value of the Company's Common Stock on July 27, 1999, vesting at a rate of 2,000 shares per month. In the event Dr. Schwartz ceases to be Chairman of the Board of Directors, either as a result of an affirmative vote of the Board of Directors for reasons other than cause or due to his disability or his resignation from such position, but remains a Director, his cash compensation and remaining unvested portion of the 40,000-share time-based stock option will be reduced to the then current rate for a Director of the Company, plus $5,000 per month pursuant to the Consulting Services Agreement. In the event</w:t>
      </w:r>
    </w:p>
    <w:p>
      <w:pPr>
        <w:spacing w:after="0" w:line="12"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Dr. Schwartz ceases to be Chairman of the Board of Directors, either as a result of an affirmative vote of the Board of Directors for reasons other than cause or due to his disability or his resignation from such position, and then he resigns as a Director or is removed as a Director pursuant to the Company's By-laws, the Company shall have no further obligation to pay cash compensation to</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Dr. Schwartz under the Letter Agreement but he would receive $5,000 per month pursuant to the Consulting Services Agreement. Dr. Schwartz shall have one year from such date to exercise the vested portion of the 40,000-share time-based option and any unvested portion of that option shall lapse. In the event</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Schwartz is removed from his positions as Director and Chairman of the Board of Directors for cause, as defined in the Letter Agreement, the Company shall have no further obligation to pay cash compensation to Dr. Schwartz under the Letter Agreement, any unvested portion of the 40,000-share time-based option shall lapse and the exercise of any vested portion shall be governed by the terms of the Company's 1992 Equity Incentive Plan. The termination of the Letter Agreement for any reason shall have no effect on the Consulting Services Agreement, which had an initial term through July 27, 2000 and was renewed on a month-to-month basis, and Dr. Schwartz shall serve as a consultant to the Company rendering strategic business advice and counseling services, including assistance in the negotiation and consummation of strategic collaboration transactions specified by the Company as provided therein. At a meeting of the Board on February 23, 2000, in order to conserve cash and demonstrate his continuing confidence in the Company's future, the Board of Directors, upon the suggestion of Dr. Schwartz, approved a resolution revising the compensation arrangement between Dr. Schwartz and the Company, for the period commencing January 1, 2000. Under this resolution,</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1" w:right="1440" w:bottom="1440" w:gutter="0" w:footer="0" w:header="0"/>
        </w:sectPr>
      </w:pPr>
    </w:p>
    <w:bookmarkStart w:id="50" w:name="page51"/>
    <w:bookmarkEnd w:id="50"/>
    <w:p>
      <w:pPr>
        <w:ind w:right="3079"/>
        <w:spacing w:after="0" w:line="242" w:lineRule="auto"/>
        <w:rPr>
          <w:sz w:val="20"/>
          <w:szCs w:val="20"/>
          <w:color w:val="auto"/>
        </w:rPr>
      </w:pPr>
      <w:r>
        <w:rPr>
          <w:rFonts w:ascii="Courier New" w:cs="Courier New" w:eastAsia="Courier New" w:hAnsi="Courier New"/>
          <w:sz w:val="15"/>
          <w:szCs w:val="15"/>
          <w:color w:val="auto"/>
        </w:rPr>
        <w:t>Dr. Schwartz waives any and all cash payments which may accrue to him for his retainer, monthly and meeting fees, and agrees to take, in lieu of such cash payments, compensation in the form of options to purchase shares of the Company's common stock at below-market prices ($0.25 per share). To effectuate the intention of Dr. Schwartz and other members of the Board to change the form but not the amount of compensation, Dr. Schwartz will be granted options covering a number of shares of the Company's common stock such that the difference between the aggregate exercise price of such options and the aggregate market value of the shares underlying such options (using the closing price of the Company's common stock for the date of the subject Board or Committee meeting (if such Committee meeting is not held contemporaneously with a Board meeting) or, with respect to the quarterly or monthly retainer payments of $33,000 and $5,000 respectively, the closing price for the last business day of the quarter or month) is equal to the compensation he is entitled to receive. All options so issued to Dr. Schwartz vest immediately. The Consulting Services Agreement expired under its terms on July 27, 2000 and the board of directors renewed it on a month-to-month basis on September 19, 2000.</w:t>
      </w:r>
    </w:p>
    <w:p>
      <w:pPr>
        <w:spacing w:after="0" w:line="18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expect to incur a charge of approximately $800,000 during the fourth quarter of 2000 as a result of this change in the option. The Company also agreed to nominate</w:t>
      </w:r>
    </w:p>
    <w:p>
      <w:pPr>
        <w:spacing w:after="0" w:line="1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Dr. Weissman for a position on the Board of Directors. The Consulting Agreement contains confidentiality, noncompetition, and assignment of invention provisions and is for a term of ten years, subject to earlier termination by us for cause or frustration of purpose and earlier termination by Dr. Weissman for good reason. Dr. Weissman receives no compensation as a member of the Board of Directors or for attending meetings of the Board or its committees or meetings of our Scientific Advisory Board, but is reimbursed for reasonable expenses he incurs in attending such meetings.</w:t>
      </w:r>
    </w:p>
    <w:p>
      <w:pPr>
        <w:spacing w:after="0" w:line="177"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George W. Dunbar, Jr., Acting President and Chief Executive Officer as of February 1, 2000, was a founding member of iCEO, LLC ("iCEO") in</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September 1999. Mr. Dunbar joined the company as Acting President of StemCells California, Inc., our wholly owned subsidiary, and he still holds this position currently. Under the terms of two agreements dated as of November 17, 1999 and effective as of November 8, 1999, the first between us and iCEO and the second between us and Mr. Dunbar, Mr. Dunbar agreed to serve as Acting President of StemCells California, Inc., our wholly owned subsidiary. Pursuant to the terms of his agreement with us, Mr. Dunbar is entitled to an annual salary of $175,000 and was granted a stock option to purchase 48,000 shares of our common stock that will vest at the rate of 4,000 shares per month commencing on December 6, 1999 and continuing until fully vested so long as he continues to serve as Acting President. The vesting under the option will be accelerated in the event of certain changes of control. Additionally, the agreement provides that the Board will consider once per quarter the grant of an option for an additional 3,000 shares if it is determined that the services rendered by Mr. Dunbar during the preceding quarter exceeded expectations. Mr. Dunbar is an at-will employee and as such may resign or be terminated with or without reason. On September 22, 2000 we announced that George Dunbar, our acting President and Chief Executive Officer, would be phasing out his service. Mr. Dunbar will continue in his position on a reduced time basis during this transition period. The agreement has no provisions for any severance payments or other benefits upon</w:t>
      </w:r>
    </w:p>
    <w:p>
      <w:pPr>
        <w:spacing w:after="0" w:line="4"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Mr. Dunbar's resignation or termination. Pursuant to the terms of the agreement between iCEO and us, iCEO is entitled to receive annual compensation of $75,000 for so long as Mr. Dunbar continues to serve in his role as Acting President of StemCells California, Inc. or</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3" w:right="1440" w:bottom="1440" w:gutter="0" w:footer="0" w:header="0"/>
        </w:sectPr>
      </w:pPr>
    </w:p>
    <w:bookmarkStart w:id="51" w:name="page52"/>
    <w:bookmarkEnd w:id="51"/>
    <w:p>
      <w:pPr>
        <w:ind w:right="3079"/>
        <w:spacing w:after="0" w:line="242" w:lineRule="auto"/>
        <w:rPr>
          <w:sz w:val="20"/>
          <w:szCs w:val="20"/>
          <w:color w:val="auto"/>
        </w:rPr>
      </w:pPr>
      <w:r>
        <w:rPr>
          <w:rFonts w:ascii="Courier New" w:cs="Courier New" w:eastAsia="Courier New" w:hAnsi="Courier New"/>
          <w:sz w:val="15"/>
          <w:szCs w:val="15"/>
          <w:color w:val="auto"/>
        </w:rPr>
        <w:t>in any other interim role with the Company. In addition, iCEO was granted a stock option to purchase 48,000 shares of our common stock that will vest at the rate of 4,000 shares per month commencing on December 6, 1999 and continuing until fully vested so long as Mr. Dunbar continues to serve as Acting President of StemCells California, Inc. or in any other interim role with the company. Additionally, the iCEO agreement provides that the Board will consider once per quarter the grant of an option to iCEO for an additional 3,000 shares if it is determined that the services rendered by Mr. Dunbar during the preceding quarter exceeded expectations. As a member of iCEO, Mr. Dunbar is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us. When Mr. Dunbar was appointed Acting President and Chief Executive Officer effective as of February 1, 2000, there was no adjustment to his or iCEO's compensation or stock options. In the event that during the period of his service as Acting President and Chief Executive Officer or within 120 days from the termination of such services, Mr. Dunbar was to become a permanent employee in any capacity, we are obligated under the iCEO agreement to pay iCEO a fee equal to one-third of the then targeted first year's compensation for Mr. Dunbar.</w:t>
      </w:r>
    </w:p>
    <w:p>
      <w:pPr>
        <w:spacing w:after="0" w:line="18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63" w:right="1440" w:bottom="1440" w:gutter="0" w:footer="0" w:header="0"/>
        </w:sectPr>
      </w:pPr>
    </w:p>
    <w:bookmarkStart w:id="52" w:name="page53"/>
    <w:bookmarkEnd w:id="52"/>
    <w:p>
      <w:pPr>
        <w:ind w:left="232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Upon completion of this offering, the total amount of our authorized capital stock will consist of 45,000,000 shares of common stock, $.01 par value per share, and 1,000,000 shares of undesignated preferred stock, $.01 par value per share, to be issued from time to time in one or more series, with such designations, powers, preferences, rights, qualifications, limitations and restrictions as our board of directors may determine. As of August 15, 2000, we had outstanding 20,538,928 shares of common stock and 1,500 shares of 6% cumulative convertible preferred stock.</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of August 15, 2000, we had 249 stockholders of record with respect to our common stock and outstanding options to purchase 2,556,486 shares of our common stock, of which 608,976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39" w:firstLine="358"/>
        <w:spacing w:after="0"/>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the company's Restated Certificate of Incorporation or by the resolution(s) of the board of directors providing for the issuance of such series.</w:t>
      </w:r>
    </w:p>
    <w:p>
      <w:pPr>
        <w:spacing w:after="0" w:line="17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 priority over payment of any dividend on common stock or any other class or series of equity security of the company. In the event of any liquidation, dissolution or winding up of the company, the holders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61" w:right="1440" w:bottom="1440" w:gutter="0" w:footer="0" w:header="0"/>
        </w:sectPr>
      </w:pPr>
    </w:p>
    <w:bookmarkStart w:id="53" w:name="page54"/>
    <w:bookmarkEnd w:id="53"/>
    <w:p>
      <w:pPr>
        <w:ind w:right="3079"/>
        <w:spacing w:after="0" w:line="242" w:lineRule="auto"/>
        <w:rPr>
          <w:sz w:val="20"/>
          <w:szCs w:val="20"/>
          <w:color w:val="auto"/>
        </w:rPr>
      </w:pPr>
      <w:r>
        <w:rPr>
          <w:rFonts w:ascii="Courier New" w:cs="Courier New" w:eastAsia="Courier New" w:hAnsi="Courier New"/>
          <w:sz w:val="15"/>
          <w:szCs w:val="15"/>
          <w:color w:val="auto"/>
        </w:rPr>
        <w:t>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the Registration Rights Agreement. The 6% cumulative convertible preferred stock was issued pursuant to a Securities Purchase Agreement.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348" w:lineRule="exact"/>
        <w:rPr>
          <w:sz w:val="20"/>
          <w:szCs w:val="20"/>
          <w:color w:val="auto"/>
        </w:rPr>
      </w:pPr>
    </w:p>
    <w:p>
      <w:pPr>
        <w:ind w:right="3339" w:firstLine="358"/>
        <w:spacing w:after="0" w:line="265" w:lineRule="auto"/>
        <w:rPr>
          <w:sz w:val="20"/>
          <w:szCs w:val="20"/>
          <w:color w:val="auto"/>
        </w:rPr>
      </w:pPr>
      <w:r>
        <w:rPr>
          <w:rFonts w:ascii="Courier New" w:cs="Courier New" w:eastAsia="Courier New" w:hAnsi="Courier New"/>
          <w:sz w:val="14"/>
          <w:szCs w:val="14"/>
          <w:color w:val="auto"/>
        </w:rPr>
        <w:t>As of September 30, 2000, we had outstanding warrants to purchase 296,487 shares of common stock at an average exercise price of $5.3876 per share, subject to customary antidilution adjustment. The warrants were issued at various times during this year to eight different parties as described below.</w:t>
      </w:r>
    </w:p>
    <w:p>
      <w:pPr>
        <w:spacing w:after="0" w:line="332" w:lineRule="exact"/>
        <w:rPr>
          <w:sz w:val="20"/>
          <w:szCs w:val="20"/>
          <w:color w:val="auto"/>
        </w:rPr>
      </w:pPr>
    </w:p>
    <w:p>
      <w:pPr>
        <w:ind w:right="3159" w:firstLine="358"/>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a warrant in connection with a Securities Purchase Agreement dated as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Under the terms of the warrants, during any time that the warrant shares are not subject to an effective registration statement, each investor may elect to receive a reduced number of warrant shares in lieu of tendering the exercise price in cash. Each investor is not entitled to any rights as a shareholder until he exercises the warrant. In the event of a transaction by us in which more than 50% of our voting power is disposed of, each investor shall have the right to purchase, by exercise of the warrant and payment of the exercise price, the kind and amount of shares and other securities and property which he would have owned or have been entitled to receive after the occurrence of the transaction had the warrant been exercised immediately prior thereto, subject to the adjustment of the exercise price as described in the warrant and above. We may, at any time during the term of the warrant, reduce the exercise price to any amount for any period of time deemed appropriate by our Board of Directors. Under the terms of the warrants, the number of shares of common stock that each investor may acquire upon exercise cannot exceed a number that, when added to the total number of shares of common stock the investor is deemed to beneficially own, together with all shares of common stock deemed beneficially owned by the investor's affiliates (as defined by Rule 144 of the Securities Act of 1933), would exceed 9.99% of the total issued and outstanding shares of the common stock.</w:t>
      </w:r>
    </w:p>
    <w:p>
      <w:pPr>
        <w:spacing w:after="0" w:line="189"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463" w:right="1440" w:bottom="1440" w:gutter="0" w:footer="0" w:header="0"/>
        </w:sectPr>
      </w:pPr>
    </w:p>
    <w:bookmarkStart w:id="54" w:name="page55"/>
    <w:bookmarkEnd w:id="54"/>
    <w:p>
      <w:pPr>
        <w:ind w:right="3079"/>
        <w:spacing w:after="0" w:line="242" w:lineRule="auto"/>
        <w:rPr>
          <w:sz w:val="20"/>
          <w:szCs w:val="20"/>
          <w:color w:val="auto"/>
        </w:rPr>
      </w:pPr>
      <w:r>
        <w:rPr>
          <w:rFonts w:ascii="Courier New" w:cs="Courier New" w:eastAsia="Courier New" w:hAnsi="Courier New"/>
          <w:sz w:val="15"/>
          <w:szCs w:val="15"/>
          <w:color w:val="auto"/>
        </w:rPr>
        <w:t>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 for subdivisions, combinations, stock dividends, reorganizations and various other issuances of common stock. During any period of time that the shares of common stock underlying this warrant are not subject to an effective registration statement, Millennium may elect to exercise the warrant by receiving a reduced number of shares in lieu of tendering the exercise price in cash. In the event of certain mergers, asset sales and tender or exchange offers, Millennium shall have the right to purchase, by exercise of this warrant and payment of the exercise price, the kind and amount of shares and other securities and property it would have owned or have been entitled to receive after the occurrence of the transaction had the warrant been exercised immediately before the transaction,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this warrant,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 Under the terms of the callable warrants, during any time that the warrant shares are not subject to an effective registration statement, Millennium may elect to receive a reduced number of warrant shares in lieu of tendering the exercise price in cash. Millennium is not entitled to any rights as a shareholder until it exercises the warrant. In the event of certain mergers, asset sales and tender or exchange offers, Millennium shall have the right to purchase, by exercise of the callable warrant and payment of the exercise price, the kind and amount of shares and other securities and property it would have owned or have been entitled to receive after the occurrence of the transaction had the warrant been exercised immediately prior thereto, subject to the adjustment of the exercise price as described in the warrant and above, or, if applicable, the right to receive a substitute warrant after a merger or the right to tender the warrant for the consideration that would have been received if the warrant had been exercised and the shares issued upon exercise had been tendered. Under the terms of the callable warrants, the number of shares of common stock that Millennium may acquire upon exercise cannot exceed a number that, when added to the total number of shares of common stock Millennium is deemed to beneficially own, together with all shares of common stock deemed beneficially owned by Millennium's affiliates (as defined by Rule 144 of the Securities Act of 1933), would exceed 9.99% of the total issued and outstanding shares of the common stock.</w:t>
      </w:r>
    </w:p>
    <w:p>
      <w:pPr>
        <w:spacing w:after="0" w:line="192" w:lineRule="exact"/>
        <w:rPr>
          <w:sz w:val="20"/>
          <w:szCs w:val="20"/>
          <w:color w:val="auto"/>
        </w:rPr>
      </w:pPr>
    </w:p>
    <w:p>
      <w:pPr>
        <w:ind w:right="3079" w:firstLine="358"/>
        <w:spacing w:after="0" w:line="241" w:lineRule="auto"/>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63" w:right="1440" w:bottom="1440" w:gutter="0" w:footer="0" w:header="0"/>
        </w:sectPr>
      </w:pPr>
    </w:p>
    <w:bookmarkStart w:id="55" w:name="page56"/>
    <w:bookmarkEnd w:id="55"/>
    <w:p>
      <w:pPr>
        <w:ind w:right="3259"/>
        <w:spacing w:after="0" w:line="242" w:lineRule="auto"/>
        <w:rPr>
          <w:sz w:val="20"/>
          <w:szCs w:val="20"/>
          <w:color w:val="auto"/>
        </w:rPr>
      </w:pPr>
      <w:r>
        <w:rPr>
          <w:rFonts w:ascii="Courier New" w:cs="Courier New" w:eastAsia="Courier New" w:hAnsi="Courier New"/>
          <w:sz w:val="15"/>
          <w:szCs w:val="15"/>
          <w:color w:val="auto"/>
        </w:rPr>
        <w:t>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6" w:lineRule="exact"/>
        <w:rPr>
          <w:sz w:val="20"/>
          <w:szCs w:val="20"/>
          <w:color w:val="auto"/>
        </w:rPr>
      </w:pPr>
    </w:p>
    <w:p>
      <w:pPr>
        <w:ind w:left="520" w:right="3339" w:hanging="170"/>
        <w:spacing w:after="0"/>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6" w:lineRule="exact"/>
        <w:rPr>
          <w:rFonts w:ascii="Courier New" w:cs="Courier New" w:eastAsia="Courier New" w:hAnsi="Courier New"/>
          <w:sz w:val="15"/>
          <w:szCs w:val="15"/>
          <w:color w:val="auto"/>
        </w:rPr>
      </w:pPr>
    </w:p>
    <w:p>
      <w:pPr>
        <w:ind w:left="520" w:right="307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8" w:lineRule="exact"/>
        <w:rPr>
          <w:rFonts w:ascii="Courier New" w:cs="Courier New" w:eastAsia="Courier New" w:hAnsi="Courier New"/>
          <w:sz w:val="15"/>
          <w:szCs w:val="15"/>
          <w:color w:val="auto"/>
        </w:rPr>
      </w:pPr>
    </w:p>
    <w:p>
      <w:pPr>
        <w:ind w:left="520" w:right="3259" w:hanging="170"/>
        <w:spacing w:after="0" w:line="242"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5" w:lineRule="exact"/>
        <w:rPr>
          <w:sz w:val="20"/>
          <w:szCs w:val="20"/>
          <w:color w:val="auto"/>
        </w:rPr>
      </w:pPr>
    </w:p>
    <w:p>
      <w:pPr>
        <w:ind w:right="3159" w:firstLine="358"/>
        <w:spacing w:after="0" w:line="263"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3" w:right="1440" w:bottom="1440" w:gutter="0" w:footer="0" w:header="0"/>
        </w:sectPr>
      </w:pPr>
    </w:p>
    <w:bookmarkStart w:id="56" w:name="page57"/>
    <w:bookmarkEnd w:id="56"/>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779" w:firstLine="358"/>
        <w:spacing w:after="0"/>
        <w:rPr>
          <w:sz w:val="20"/>
          <w:szCs w:val="20"/>
          <w:color w:val="auto"/>
        </w:rPr>
      </w:pPr>
      <w:r>
        <w:rPr>
          <w:rFonts w:ascii="Courier New" w:cs="Courier New" w:eastAsia="Courier New" w:hAnsi="Courier New"/>
          <w:sz w:val="15"/>
          <w:szCs w:val="15"/>
          <w:color w:val="auto"/>
        </w:rPr>
        <w:t>We will not receive any of the proceeds from the sale by the selling stockholders of the common stock offered hereby.</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shares of the common stock offered hereby may be sold from time to time by the selling stockholders, or by pledgees, donees, transferees or other successors in interest (i) to or through underwriters or dealers, (ii) directly to one or more other purchasers, (iii) through agents on a best-efforts basis, or (iv) through a combination of any such methods of sale. 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and (e) privately negotiated transactions without a broker or dealer. In effecting sales, brokers or dealers engaged by the selling stockholders may arrange for other brokers or dealers to participate. Brokers or dealers will receive commissions or discounts from selling stockholders in amounts to be negotiated prior to the sale. In addition, any securities covered by this prospectus which qualify for sale pursuant to Rule 144 may be sold under Rule 144 rather than pursuant to this prospectus.</w:t>
      </w:r>
    </w:p>
    <w:p>
      <w:pPr>
        <w:spacing w:after="0" w:line="187"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175"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175" w:lineRule="exact"/>
        <w:rPr>
          <w:sz w:val="20"/>
          <w:szCs w:val="20"/>
          <w:color w:val="auto"/>
        </w:rPr>
      </w:pPr>
    </w:p>
    <w:p>
      <w:pPr>
        <w:ind w:left="520" w:right="423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each selling stockholder and of the participating broker-dealer(s);</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involved;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such shares were sold;</w:t>
      </w:r>
    </w:p>
    <w:p>
      <w:pPr>
        <w:spacing w:after="0" w:line="175" w:lineRule="exact"/>
        <w:rPr>
          <w:rFonts w:ascii="Courier New" w:cs="Courier New" w:eastAsia="Courier New" w:hAnsi="Courier New"/>
          <w:sz w:val="15"/>
          <w:szCs w:val="15"/>
          <w:color w:val="auto"/>
        </w:rPr>
      </w:pPr>
    </w:p>
    <w:p>
      <w:pPr>
        <w:ind w:left="520" w:right="3959"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such broker-dealer(s), where applicable; and</w:t>
      </w:r>
    </w:p>
    <w:p>
      <w:pPr>
        <w:spacing w:after="0" w:line="174" w:lineRule="exact"/>
        <w:rPr>
          <w:rFonts w:ascii="Courier New" w:cs="Courier New" w:eastAsia="Courier New" w:hAnsi="Courier New"/>
          <w:sz w:val="15"/>
          <w:szCs w:val="15"/>
          <w:color w:val="auto"/>
        </w:rPr>
      </w:pPr>
    </w:p>
    <w:p>
      <w:pPr>
        <w:ind w:left="520" w:hanging="170"/>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facts material to the transaction.</w:t>
      </w:r>
    </w:p>
    <w:p>
      <w:pPr>
        <w:spacing w:after="0" w:line="176"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We have agreed to pay the cost of registering the shares covered by this prospectus and the costs of preparing this prospectus and the registration statement under which it is filed. We will provide the estimated total of these expenses by amendment.</w:t>
      </w:r>
    </w:p>
    <w:p>
      <w:pPr>
        <w:spacing w:after="0" w:line="175" w:lineRule="exact"/>
        <w:rPr>
          <w:sz w:val="20"/>
          <w:szCs w:val="20"/>
          <w:color w:val="auto"/>
        </w:rPr>
      </w:pPr>
    </w:p>
    <w:p>
      <w:pPr>
        <w:ind w:right="3159" w:firstLine="358"/>
        <w:spacing w:after="0" w:line="274" w:lineRule="auto"/>
        <w:rPr>
          <w:sz w:val="20"/>
          <w:szCs w:val="20"/>
          <w:color w:val="auto"/>
        </w:rPr>
      </w:pPr>
      <w:r>
        <w:rPr>
          <w:rFonts w:ascii="Courier New" w:cs="Courier New" w:eastAsia="Courier New" w:hAnsi="Courier New"/>
          <w:sz w:val="14"/>
          <w:szCs w:val="14"/>
          <w:color w:val="auto"/>
        </w:rPr>
        <w:t>We and the selling stockholders have agreed to indemnify each other against certain liabilities, including liabilities arising under the Securities Act.</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1" w:right="1440" w:bottom="1440" w:gutter="0" w:footer="0" w:header="0"/>
        </w:sectPr>
      </w:pPr>
    </w:p>
    <w:bookmarkStart w:id="57" w:name="page58"/>
    <w:bookmarkEnd w:id="57"/>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358"/>
        <w:spacing w:after="0"/>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1999 and 1998, and for each of the three years in the period ended December 31, 1999, as set forth in their report. We have included our financial statements in the prospectus and elsewhere in the Registration Statement in reliance on Ernst &amp; Young LLP's report, given on their authority as experts in accounting and auditing.</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1" w:right="1440" w:bottom="1440" w:gutter="0" w:footer="0" w:header="0"/>
        </w:sectPr>
      </w:pPr>
    </w:p>
    <w:bookmarkStart w:id="58" w:name="page59"/>
    <w:bookmarkEnd w:id="58"/>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 1999, 1998 and 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September 30, 2000</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December 31,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Consolidated Statements of Operations for the nine</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months ended September 30, 2000 and June 30, 1999</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Condensed Statements of Cash Flows for the nine months ended</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30, 2000 and June 30, 1999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 Forma Financial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bl>
    <w:p>
      <w:pPr>
        <w:spacing w:after="0" w:line="200" w:lineRule="exact"/>
        <w:rPr>
          <w:sz w:val="20"/>
          <w:szCs w:val="20"/>
          <w:color w:val="auto"/>
        </w:rPr>
      </w:pPr>
    </w:p>
    <w:p>
      <w:pPr>
        <w:spacing w:after="0" w:line="320"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Additional schedules are not provided either because they are inapplicable or because the required information is included in the accompanying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0219"/>
          </w:cols>
          <w:pgMar w:left="240" w:top="461" w:right="1440" w:bottom="1440" w:gutter="0" w:footer="0" w:header="0"/>
        </w:sectPr>
      </w:pPr>
    </w:p>
    <w:bookmarkStart w:id="59" w:name="page60"/>
    <w:bookmarkEnd w:id="59"/>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1999 and 1998, and the related consolidated statements of operations, changes in redeemable common stock and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59" w:firstLine="358"/>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StemCells, Inc. (formerly CytoTherapeutics, Inc.) at December 31, 1999 and 1998, and the consolidated results of its operations and its cash flows for each of the three years in the period ended December 31, 1999, in conformity with accounting principles generally accepted in the United States.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14,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61" w:right="1440" w:bottom="1440" w:gutter="0" w:footer="0" w:header="0"/>
        </w:sectPr>
      </w:pPr>
    </w:p>
    <w:bookmarkStart w:id="60" w:name="page61"/>
    <w:bookmarkEnd w:id="60"/>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7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9,520,939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42,212</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Debt service fund.........................................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558,674</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841,674</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18,434,010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held for sale......................................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 net...........................................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1,858,768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710,622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5,547,824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3,261,667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less current maturities.....................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222,673</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issued and outstanding at December 31, 1999 and 1998......</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5,248,610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Common stock to be issued...................................</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187,500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shares authorized; no shares issued and outstanding.....</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authorized; 18,635,565 and 17,800,323 shares issued and</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1999 and 1998,</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178,003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(103,664,084)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losses on marketable securities................</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(5,198)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total comprehensive loss......................</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(103,669,282)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stockholders' equity..................................</w:t>
            </w:r>
          </w:p>
        </w:tc>
        <w:tc>
          <w:tcPr>
            <w:tcW w:w="18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17,897,408</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32,865,682</w:t>
            </w:r>
          </w:p>
        </w:tc>
      </w:tr>
      <w:tr>
        <w:trPr>
          <w:trHeight w:val="172"/>
        </w:trPr>
        <w:tc>
          <w:tcPr>
            <w:tcW w:w="5440" w:type="dxa"/>
            <w:vAlign w:val="bottom"/>
          </w:tcPr>
          <w:p>
            <w:pPr>
              <w:spacing w:after="0"/>
              <w:rPr>
                <w:sz w:val="14"/>
                <w:szCs w:val="14"/>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61" w:right="1440" w:bottom="1440" w:gutter="0" w:footer="0" w:header="0"/>
        </w:sectPr>
      </w:pPr>
    </w:p>
    <w:bookmarkStart w:id="61" w:name="page62"/>
    <w:bookmarkEnd w:id="61"/>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4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40" w:type="dxa"/>
            <w:vAlign w:val="bottom"/>
          </w:tcPr>
          <w:p>
            <w:pPr>
              <w:spacing w:after="0"/>
              <w:rPr>
                <w:sz w:val="14"/>
                <w:szCs w:val="14"/>
                <w:color w:val="auto"/>
              </w:rPr>
            </w:pPr>
          </w:p>
        </w:tc>
        <w:tc>
          <w:tcPr>
            <w:tcW w:w="39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8,803,163</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$ 10,617,443</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17,658,530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18,603,523</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4,602,758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6,158,410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22,261,288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33,105,617</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(13,458,125)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(22,488,174)</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1,253,781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1,931,260</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(472,400)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(437,991)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Gain on partial sale of Modex.....................</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sale/leaseback............................</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(342,014)</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equity investment.........................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48,914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(57,538)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830,295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4,374,594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47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18,290,548</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16,704,144</w:t>
            </w:r>
          </w:p>
        </w:tc>
      </w:tr>
      <w:tr>
        <w:trPr>
          <w:trHeight w:val="172"/>
        </w:trPr>
        <w:tc>
          <w:tcPr>
            <w:tcW w:w="474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6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6520" w:type="dxa"/>
            <w:vAlign w:val="bottom"/>
            <w:gridSpan w:val="3"/>
          </w:tcPr>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CHANGES IN REDEEMABLE COMMON STOCK AND STOCKHOLDERS'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ind w:left="1260"/>
              <w:spacing w:after="0"/>
              <w:rPr>
                <w:sz w:val="20"/>
                <w:szCs w:val="20"/>
                <w:color w:val="auto"/>
              </w:rPr>
            </w:pPr>
            <w:r>
              <w:rPr>
                <w:rFonts w:ascii="Courier New" w:cs="Courier New" w:eastAsia="Courier New" w:hAnsi="Courier New"/>
                <w:sz w:val="15"/>
                <w:szCs w:val="15"/>
                <w:color w:val="auto"/>
              </w:rPr>
              <w:t>EQUITY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4"/>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7"/>
              </w:rPr>
              <w:t>REDEEMABLE</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0" w:type="dxa"/>
            <w:vAlign w:val="bottom"/>
            <w:gridSpan w:val="3"/>
          </w:tcPr>
          <w:p>
            <w:pPr>
              <w:jc w:val="center"/>
              <w:ind w:left="286"/>
              <w:spacing w:after="0"/>
              <w:rPr>
                <w:sz w:val="20"/>
                <w:szCs w:val="20"/>
                <w:color w:val="auto"/>
              </w:rPr>
            </w:pPr>
            <w:r>
              <w:rPr>
                <w:rFonts w:ascii="Courier New" w:cs="Courier New" w:eastAsia="Courier New" w:hAnsi="Courier New"/>
                <w:sz w:val="15"/>
                <w:szCs w:val="15"/>
                <w:color w:val="auto"/>
                <w:w w:val="99"/>
              </w:rPr>
              <w:t>COMMON STOCK</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6"/>
              </w:rPr>
              <w:t>COMMON STOCK</w:t>
            </w:r>
          </w:p>
        </w:tc>
        <w:tc>
          <w:tcPr>
            <w:tcW w:w="18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AMOUNT</w:t>
            </w:r>
          </w:p>
        </w:tc>
        <w:tc>
          <w:tcPr>
            <w:tcW w:w="400" w:type="dxa"/>
            <w:vAlign w:val="bottom"/>
          </w:tcPr>
          <w:p>
            <w:pPr>
              <w:spacing w:after="0"/>
              <w:rPr>
                <w:sz w:val="14"/>
                <w:szCs w:val="14"/>
                <w:color w:val="auto"/>
              </w:rPr>
            </w:pPr>
          </w:p>
        </w:tc>
        <w:tc>
          <w:tcPr>
            <w:tcW w:w="12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AMOUNT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815,065</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$ 8,158,798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15,614,333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$156,144</w:t>
            </w:r>
          </w:p>
        </w:tc>
        <w:tc>
          <w:tcPr>
            <w:tcW w:w="180" w:type="dxa"/>
            <w:vAlign w:val="bottom"/>
          </w:tcPr>
          <w:p>
            <w:pPr>
              <w:spacing w:after="0"/>
              <w:rPr>
                <w:sz w:val="24"/>
                <w:szCs w:val="2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$107,649,659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307,548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1,552,432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31,822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180,103</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25,588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169,196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1,219,381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12,194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7,381,206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(257,311)</w:t>
            </w:r>
          </w:p>
        </w:tc>
        <w:tc>
          <w:tcPr>
            <w:tcW w:w="1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(2,575,688)</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257,311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2,573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2,573,115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75,237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244,427</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(5,000)</w:t>
            </w: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(27,294)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$ 5,583,110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17,526,220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$175,262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$121,472,844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43,542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83,622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84,812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143,025</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101,320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1,013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505,587</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2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(334,500)</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33,417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334,166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11,012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321,108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17,800,323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$178,003</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$122,861,606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196,213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1,962</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318,221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57,398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41,619</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90,798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102,502</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490,833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4,908</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513,534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80,276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$ 5,248,610</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18,635,565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$186,355</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2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OTHER COMPREHENSIVE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INCOME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UNREALIZED</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(LOSSES)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ON MARKETABLE</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TRANSLATION</w:t>
            </w:r>
          </w:p>
        </w:tc>
        <w:tc>
          <w:tcPr>
            <w:tcW w:w="180" w:type="dxa"/>
            <w:vAlign w:val="bottom"/>
          </w:tcPr>
          <w:p>
            <w:pPr>
              <w:spacing w:after="0"/>
              <w:rPr>
                <w:sz w:val="14"/>
                <w:szCs w:val="14"/>
                <w:color w:val="auto"/>
              </w:rPr>
            </w:pPr>
          </w:p>
        </w:tc>
        <w:tc>
          <w:tcPr>
            <w:tcW w:w="124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4"/>
              </w:rPr>
              <w:t>DEFERRED</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DEFICIT</w:t>
            </w: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SECURITIES</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COMPENSATION</w:t>
            </w: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1996.................................</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(72,922,674)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14,760</w:t>
            </w: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(90,118)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(1,750,000)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137,298</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7"/>
              </w:rPr>
              <w:t>(23,637)</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60,416</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(91,036,254)</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(8,877)</w:t>
            </w: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$(1,702,820)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229,901</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080" w:type="dxa"/>
            <w:vAlign w:val="bottom"/>
          </w:tcPr>
          <w:p>
            <w:pPr>
              <w:spacing w:after="0"/>
              <w:rPr>
                <w:sz w:val="14"/>
                <w:szCs w:val="14"/>
                <w:color w:val="auto"/>
              </w:rPr>
            </w:pP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460" w:type="dxa"/>
            <w:vAlign w:val="bottom"/>
          </w:tcPr>
          <w:p>
            <w:pPr>
              <w:spacing w:after="0"/>
              <w:rPr>
                <w:sz w:val="14"/>
                <w:szCs w:val="14"/>
                <w:color w:val="auto"/>
              </w:rPr>
            </w:pPr>
          </w:p>
        </w:tc>
        <w:tc>
          <w:tcPr>
            <w:tcW w:w="9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3,679</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80"/>
          </w:cols>
          <w:pgMar w:left="240" w:top="461" w:right="57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$(103,664,084)</w:t>
            </w: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(5,198)</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$(1,472,919)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42,193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247,919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5,198</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$(119,372,710)</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5"/>
                <w:szCs w:val="15"/>
                <w:color w:val="auto"/>
              </w:rPr>
              <w:t>EQUITY</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$ 34,747,355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1,555,506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180,422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169,452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7,393,400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2,575,688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245,179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109,954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(23,637)</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cumulative translation adjustment.................</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60,416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(18,113,580)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(18,076,081)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$ 28,900,155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84,058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143,873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506,600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334,500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1,364</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551,009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3,679</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(12,627,830)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(12,624,151)</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$ 17,897,408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320,183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 under the stock purchase plan......</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 recorded in connection with the</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granting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Common stock issued pursuant to employee benefit plan.......</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103,410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Issuance of common stock--StemCells.........................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Exercise of stock options...................................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518,442</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compensation--amortization and cancellations.......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328,195</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losses on marketable securities........</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5,198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(15,708,626)</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loss..........................................</w:t>
            </w:r>
          </w:p>
        </w:tc>
        <w:tc>
          <w:tcPr>
            <w:tcW w:w="1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(15,703,428)</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3,506,403</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346"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820"/>
          </w:cols>
          <w:pgMar w:left="240" w:top="140" w:right="839" w:bottom="1440" w:gutter="0" w:footer="0" w:header="0"/>
        </w:sectPr>
      </w:pPr>
    </w:p>
    <w:bookmarkStart w:id="64" w:name="page65"/>
    <w:bookmarkEnd w:id="64"/>
    <w:p>
      <w:pPr>
        <w:jc w:val="center"/>
        <w:ind w:right="315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5"/>
          </w:tcPr>
          <w:p>
            <w:pPr>
              <w:jc w:val="right"/>
              <w:ind w:right="9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94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$(15,708,626)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$(18,113,580)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2,244,146</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1,968,234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Acquired research and development.........................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551,009</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8,343,684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109,954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Fair market adjustment for property held for sale.........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non-cash charges....................................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410,173</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(3,386,808)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413,856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intangibles...............................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346,577</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(265,665)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(232,604)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(2,378,613)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(1,233,501)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2,483,856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(1,842,948)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operating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(11,913,282)</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(9,236,347)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(13,767,778)</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 of Modex, net of cash disposed...........</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2,958,199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(18,982,387)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(14,182,521)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sales of marketable securities................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22,573,625</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23,736,242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(2,153,525)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(7,710,126)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on sale of fixed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8,003,926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 of other investment................................</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other assets.................................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(400,219)</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(1,599,418)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Disposal of other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Acquisition of StemCells assets.............................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(640,490)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Advance to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 from Cognetix.....................................</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investing activities...................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1,037,494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10,315,812</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redeemable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227,931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1,905,380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the exercise of stock options and warrants....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1,364</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245,179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Proceeds from debt financings...............................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1,259,300</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(1,366,655)</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(2,496,849)</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(used in) financing activities.........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121,940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(346,290)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(181,627)</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Decrease in cash and cash equivalents.......................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(8,076,913)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(3,979,883)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January 1........................</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15,941,701</w:t>
            </w:r>
          </w:p>
        </w:tc>
        <w:tc>
          <w:tcPr>
            <w:tcW w:w="180" w:type="dxa"/>
            <w:vAlign w:val="bottom"/>
          </w:tcPr>
          <w:p>
            <w:pPr>
              <w:spacing w:after="0"/>
              <w:rPr>
                <w:sz w:val="14"/>
                <w:szCs w:val="14"/>
                <w:color w:val="auto"/>
              </w:rPr>
            </w:pP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19,921,584</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December 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7,864,788</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$ 15,941,701</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444,047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436,461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TRANSACTION:</w:t>
      </w:r>
    </w:p>
    <w:p>
      <w:pPr>
        <w:spacing w:after="0" w:line="176" w:lineRule="exact"/>
        <w:rPr>
          <w:sz w:val="20"/>
          <w:szCs w:val="20"/>
          <w:color w:val="auto"/>
        </w:rPr>
      </w:pPr>
    </w:p>
    <w:p>
      <w:pPr>
        <w:ind w:right="3259" w:firstLine="358"/>
        <w:spacing w:after="0" w:line="241" w:lineRule="auto"/>
        <w:rPr>
          <w:sz w:val="20"/>
          <w:szCs w:val="20"/>
          <w:color w:val="auto"/>
        </w:rPr>
      </w:pPr>
      <w:r>
        <w:rPr>
          <w:rFonts w:ascii="Courier New" w:cs="Courier New" w:eastAsia="Courier New" w:hAnsi="Courier New"/>
          <w:sz w:val="15"/>
          <w:szCs w:val="15"/>
          <w:color w:val="auto"/>
        </w:rPr>
        <w:t>In December 1999, the Company sold intellectual property related to its encapsulated cell technology. In association with the transaction, the Company recorded a receivable of $3,000,000 and reduced intangible assets.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461" w:right="1440" w:bottom="1440" w:gutter="0" w:footer="0" w:header="0"/>
        </w:sectPr>
      </w:pPr>
    </w:p>
    <w:bookmarkStart w:id="65" w:name="page66"/>
    <w:bookmarkEnd w:id="6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6" w:lineRule="exact"/>
        <w:rPr>
          <w:sz w:val="20"/>
          <w:szCs w:val="20"/>
          <w:color w:val="auto"/>
        </w:rPr>
      </w:pPr>
    </w:p>
    <w:p>
      <w:pPr>
        <w:ind w:left="8" w:right="3599" w:firstLine="358"/>
        <w:spacing w:after="0" w:line="241" w:lineRule="auto"/>
        <w:rPr>
          <w:sz w:val="20"/>
          <w:szCs w:val="20"/>
          <w:color w:val="auto"/>
        </w:rPr>
      </w:pPr>
      <w:r>
        <w:rPr>
          <w:rFonts w:ascii="Courier New" w:cs="Courier New" w:eastAsia="Courier New" w:hAnsi="Courier New"/>
          <w:sz w:val="15"/>
          <w:szCs w:val="15"/>
          <w:color w:val="auto"/>
        </w:rPr>
        <w:t>StemCells, Inc. (formerly CytoTherapeutics, Inc.) (the "Company") is a biopharmaceutical company engaged in the development of novel stem cell therapies designed to treat human diseases and disorders.</w:t>
      </w:r>
    </w:p>
    <w:p>
      <w:pPr>
        <w:spacing w:after="0" w:line="176" w:lineRule="exact"/>
        <w:rPr>
          <w:sz w:val="20"/>
          <w:szCs w:val="20"/>
          <w:color w:val="auto"/>
        </w:rPr>
      </w:pPr>
    </w:p>
    <w:p>
      <w:pPr>
        <w:ind w:left="8" w:right="6119" w:hanging="8"/>
        <w:spacing w:after="0" w:line="483"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4"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preparation of the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 AND 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Cash equivalents include funds held in investments with original maturities of three months or less when purchased. The Company's policy regarding selection of investments, pending their use, is to ensure safety, liquidity, and capital reservation while obtaining a reasonable rate of return. Marketable securities consist of investments in agencies of the U.S. government, investment grade corporate notes and money market funds. The fair values for marketable securities are based on quoted market prices.</w:t>
      </w:r>
    </w:p>
    <w:p>
      <w:pPr>
        <w:spacing w:after="0" w:line="17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determines the appropriate classification of cash equivalents and marketable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HELD FOR SALE</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7"/>
          </w:cols>
          <w:pgMar w:left="232" w:top="461" w:right="1440" w:bottom="1440" w:gutter="0" w:footer="0" w:header="0"/>
        </w:sectPr>
      </w:pPr>
    </w:p>
    <w:bookmarkStart w:id="66" w:name="page67"/>
    <w:bookmarkEnd w:id="6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PROPERTY, PLANT AND EQUIPMENT</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Property, plant and equipment, including that held under capitalized lease obligations, is stated at cost and depreciated using the straight-line method over the estimated life of the respective asset,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w w:val="93"/>
              </w:rPr>
              <w:t>years</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PATENT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written off to expense at the time such patents are deemed to have no continuing value. At December 31, 1999 and 1998, total costs capitalized were $718,000 and $4,285,000 and the related accumulated amortization were $9,000 and $347,000, respectively. Patent expense totaled $539,000, $3,000, and $365,000 in 1999, 1998 and 1997, respectively.</w:t>
      </w:r>
    </w:p>
    <w:p>
      <w:pPr>
        <w:spacing w:after="0" w:line="178" w:lineRule="exact"/>
        <w:rPr>
          <w:sz w:val="20"/>
          <w:szCs w:val="20"/>
          <w:color w:val="auto"/>
        </w:rPr>
      </w:pPr>
    </w:p>
    <w:p>
      <w:pPr>
        <w:ind w:left="8" w:right="3159" w:firstLine="358"/>
        <w:spacing w:after="0" w:line="261" w:lineRule="auto"/>
        <w:rPr>
          <w:sz w:val="20"/>
          <w:szCs w:val="20"/>
          <w:color w:val="auto"/>
        </w:rPr>
      </w:pPr>
      <w:r>
        <w:rPr>
          <w:rFonts w:ascii="Courier New" w:cs="Courier New" w:eastAsia="Courier New" w:hAnsi="Courier New"/>
          <w:sz w:val="14"/>
          <w:szCs w:val="14"/>
          <w:color w:val="auto"/>
        </w:rPr>
        <w:t>In December 1999, the Company sold its Encapsulated Cell Technology ("ECT") to Neurotech, S.A. for an initial payment of $3,000,000, royalties on future product sales, and a portion of certain Neurotech revenues from third parties, in return for the assignment to Neurotech 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The loss on this transaction and expenses related to the write-down of ECT are included in wind-down expenses on the Company's Consolidated Statement of Operations.</w:t>
      </w:r>
    </w:p>
    <w:p>
      <w:pPr>
        <w:spacing w:after="0" w:line="16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BASED COMPENSATION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Fair value is determined using methodologies allowable by FAS No. 123. The cost is amortized over the vesting period of each option or the recipient's contractual arrangement, if shorter.</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461" w:right="1440" w:bottom="1440" w:gutter="0" w:footer="0" w:header="0"/>
        </w:sectPr>
      </w:pPr>
    </w:p>
    <w:bookmarkStart w:id="67" w:name="page68"/>
    <w:bookmarkEnd w:id="6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5039" w:hanging="8"/>
        <w:spacing w:after="0"/>
        <w:tabs>
          <w:tab w:leader="none" w:pos="36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INCOME TAXES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rates under laws that are expected to be in effect when the differences reverse. Deferred tax assets may be reduced by a valuation allowance to reflect the uncertainty associated with their ultimate realization.</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FROM COLLABORATIVE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achievement of certain development milestones as defined within the terms of the collaborative agreement. Payments received in advance of research performed are designated as deferred revenue. Recorded revenues are not refundable in the event research efforts are considered unsuccessful.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 COSTS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NET LOSS PER SHARE</w:t>
      </w:r>
    </w:p>
    <w:p>
      <w:pPr>
        <w:spacing w:after="0" w:line="176" w:lineRule="exact"/>
        <w:rPr>
          <w:sz w:val="20"/>
          <w:szCs w:val="20"/>
          <w:color w:val="auto"/>
        </w:rPr>
      </w:pPr>
    </w:p>
    <w:p>
      <w:pPr>
        <w:ind w:left="8" w:right="3259" w:firstLine="358"/>
        <w:spacing w:after="0" w:line="241" w:lineRule="auto"/>
        <w:rPr>
          <w:sz w:val="20"/>
          <w:szCs w:val="20"/>
          <w:color w:val="auto"/>
        </w:rPr>
      </w:pPr>
      <w:r>
        <w:rPr>
          <w:rFonts w:ascii="Courier New" w:cs="Courier New" w:eastAsia="Courier New" w:hAnsi="Courier New"/>
          <w:sz w:val="15"/>
          <w:szCs w:val="15"/>
          <w:color w:val="auto"/>
        </w:rPr>
        <w:t>Net loss per share is computed using the weighted average number of shares of common stock outstanding. Common equivalent shares from stock options and warrants are excluded, as their effect is antidilutive.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RECENTLY ISSUED ACCOUNTING PRONOUNCEMENTS</w:t>
      </w:r>
    </w:p>
    <w:p>
      <w:pPr>
        <w:spacing w:after="0" w:line="176" w:lineRule="exact"/>
        <w:rPr>
          <w:sz w:val="20"/>
          <w:szCs w:val="20"/>
          <w:color w:val="auto"/>
        </w:rPr>
      </w:pPr>
    </w:p>
    <w:p>
      <w:pPr>
        <w:ind w:left="8" w:right="3159" w:firstLine="358"/>
        <w:spacing w:after="0" w:line="263" w:lineRule="auto"/>
        <w:rPr>
          <w:sz w:val="20"/>
          <w:szCs w:val="20"/>
          <w:color w:val="auto"/>
        </w:rPr>
      </w:pPr>
      <w:r>
        <w:rPr>
          <w:rFonts w:ascii="Courier New" w:cs="Courier New" w:eastAsia="Courier New" w:hAnsi="Courier New"/>
          <w:sz w:val="14"/>
          <w:szCs w:val="14"/>
          <w:color w:val="auto"/>
        </w:rPr>
        <w:t>The Securities Exchange Commission's recently issued Staff Accounting Bulletin No. 101 provides guidance on revenue recognition that may impact the Company's future reporting relative to recognizing revenues received from collaborative and similar agreements. The Company does not expect this guidance to result in significant changes to its existing revenue recognition policy, subject to the specific terms of each individual collaborative agreement.</w:t>
      </w:r>
    </w:p>
    <w:p>
      <w:pPr>
        <w:spacing w:after="0" w:line="160" w:lineRule="exact"/>
        <w:rPr>
          <w:sz w:val="20"/>
          <w:szCs w:val="20"/>
          <w:color w:val="auto"/>
        </w:rPr>
      </w:pPr>
    </w:p>
    <w:p>
      <w:pPr>
        <w:ind w:left="348" w:hanging="348"/>
        <w:spacing w:after="0"/>
        <w:tabs>
          <w:tab w:leader="none" w:pos="34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$1,500,000, on terms more favorable to the Company than it was then able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obtain from outside investors. The shares are convertible at the option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holders into common stock at $3.77 per share (based on the face value of the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preferred shares). The conversion price may be below the trading market price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stock at the time of conversion. The Company has valued the beneficial</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conversion feature using the intrinsic value method reflecting the April 13,</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2000 commitment date and the most beneficial per share discount available to the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shareholders. Such value was $265,000 and will be treated as a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 as of the commitment date. The holders of the preferred stock have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liquidation rights equal to their original investment plus accrued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7"/>
          </w:cols>
          <w:pgMar w:left="232" w:top="461" w:right="1440" w:bottom="1440" w:gutter="0" w:footer="0" w:header="0"/>
        </w:sectPr>
      </w:pPr>
    </w:p>
    <w:bookmarkStart w:id="68" w:name="page69"/>
    <w:bookmarkEnd w:id="6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6% CUMULATIVE CONVERTIBLE PREFERRED STOCK (CONTINUED)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but unpaid dividends. The investors would be entitled to make additional investments in the Company on the same terms as those on which the Company completes offerings of its securities with third parties within 6 months, if any such offerings are completed. If offerings totaling at least $6 million are not completed during the 6 months, the investors have the right to acquire up to 1,126 additional shares of convertible preferred stock at $6.33 per share. Any unconverted preferred stock is converted (based on the face value of the shares), at the applicable conversion price, on April 13, 2002 in the case of the original stock and two years after the first acquisition of any of the additional 1,126 shares, if any are acquired. The warrant expires on April 13, 2005.</w:t>
      </w:r>
    </w:p>
    <w:p>
      <w:pPr>
        <w:spacing w:after="0" w:line="178" w:lineRule="exact"/>
        <w:rPr>
          <w:sz w:val="20"/>
          <w:szCs w:val="20"/>
          <w:color w:val="auto"/>
        </w:rPr>
      </w:pPr>
    </w:p>
    <w:p>
      <w:pPr>
        <w:ind w:left="348" w:hanging="348"/>
        <w:spacing w:after="0"/>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7" w:lineRule="exact"/>
        <w:rPr>
          <w:sz w:val="20"/>
          <w:szCs w:val="20"/>
          <w:color w:val="auto"/>
        </w:rPr>
      </w:pPr>
    </w:p>
    <w:p>
      <w:pPr>
        <w:ind w:left="8" w:right="3439" w:firstLine="358"/>
        <w:spacing w:after="0" w:line="242"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347"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The Company reduced its workforce by approximately 58 full-time employees who had been focused on encapsulated cell technology programs and</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10 administrative employees, wound down its research and manufacturing operations in Lincoln, Rhode Island, and relocated its remaining research and development activities, and its corporate headquarters, to the facilities of its wholly owned subsidiary, StemCells California, Inc., in Sunnyvale, California, in October 1999. As a result, the Company sold excess furniture and equipment in December 1999 and is seeking to sublease the science and administrative facility and to sell the pilot manufacturing facility.</w:t>
      </w:r>
    </w:p>
    <w:p>
      <w:pPr>
        <w:spacing w:after="0" w:line="349"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Wind-down expenses totaled approximately $6,048,000 for the year ended December 31, 1999; no such expenses were incurred in 1998 and 1997. These expenses relate to the wind-down of the Company's encapsulated cell technology research and development program and the Company's other Rhode Island operations, and the transfer of the Company's corporate headquarters to Sunnyvale, California.</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461" w:right="1440" w:bottom="1440" w:gutter="0" w:footer="0" w:header="0"/>
        </w:sectPr>
      </w:pPr>
    </w:p>
    <w:bookmarkStart w:id="69" w:name="page70"/>
    <w:bookmarkEnd w:id="6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8" w:right="3699" w:firstLine="35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these expenses, including the amounts and periods of recognition,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THIRD QUARTER</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FOURTH QUARTER</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WIND-DOWN</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8"/>
              </w:rPr>
              <w:t>EXPENSE</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Employee severance costs...............................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$1,554,000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$1,554,000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1,060,000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Corporate headquarters...............................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702,000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Pilot manufacturing plant............................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562,000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562,000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1,264,000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Employee outplacement..................................</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200,000</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RIPSAT settlement(3)...................................</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1,172,000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1,172,000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Fixed assets.........................................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318,000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ECT patents..........................................</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180,000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498,000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498,000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Write-down of pilot plant(5)...........................</w:t>
            </w: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$4,078,000</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$1,970,000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$6,048,000</w:t>
            </w:r>
          </w:p>
        </w:tc>
      </w:tr>
      <w:tr>
        <w:trPr>
          <w:trHeight w:val="172"/>
        </w:trPr>
        <w:tc>
          <w:tcPr>
            <w:tcW w:w="50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4" w:lineRule="exact"/>
        <w:rPr>
          <w:rFonts w:ascii="Courier New" w:cs="Courier New" w:eastAsia="Courier New" w:hAnsi="Courier New"/>
          <w:sz w:val="15"/>
          <w:szCs w:val="15"/>
          <w:color w:val="auto"/>
        </w:rPr>
      </w:pPr>
    </w:p>
    <w:p>
      <w:pPr>
        <w:ind w:left="348" w:right="351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Facilities carrying costs include operating lease payments, utilities, property taxes, insurance, maintenance, interest and other non-employee related expenses necessary to maintaining these facilities through the expected date of disposition (June 30, 2000).</w:t>
      </w:r>
    </w:p>
    <w:p>
      <w:pPr>
        <w:spacing w:after="0" w:line="174"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8" w:lineRule="exact"/>
        <w:rPr>
          <w:rFonts w:ascii="Courier New" w:cs="Courier New" w:eastAsia="Courier New" w:hAnsi="Courier New"/>
          <w:sz w:val="15"/>
          <w:szCs w:val="15"/>
          <w:color w:val="auto"/>
        </w:rPr>
      </w:pPr>
    </w:p>
    <w:p>
      <w:pPr>
        <w:ind w:left="348" w:right="3079" w:hanging="348"/>
        <w:spacing w:after="0" w:line="241" w:lineRule="auto"/>
        <w:tabs>
          <w:tab w:leader="none" w:pos="3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7"/>
          </w:cols>
          <w:pgMar w:left="232" w:top="461" w:right="1440" w:bottom="1440" w:gutter="0" w:footer="0" w:header="0"/>
        </w:sectPr>
      </w:pPr>
    </w:p>
    <w:bookmarkStart w:id="70" w:name="page71"/>
    <w:bookmarkEnd w:id="7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6" w:lineRule="exact"/>
        <w:rPr>
          <w:sz w:val="20"/>
          <w:szCs w:val="20"/>
          <w:color w:val="auto"/>
        </w:rPr>
      </w:pPr>
    </w:p>
    <w:p>
      <w:pPr>
        <w:ind w:left="8" w:right="3259" w:hanging="8"/>
        <w:spacing w:after="0"/>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348" w:right="3079" w:hanging="358"/>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 The write-down of the pilot plant was based on an independent property appraisal, which was not available during the third quarter, when the Company reached a decision to exit ECT activities and relocate the corporate headquarters.</w:t>
      </w:r>
    </w:p>
    <w:p>
      <w:pPr>
        <w:spacing w:after="0" w:line="175"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At December 31, 1999, the Company's $1.6 million wind-down reserve included approximately $1.2 million for the RIPSAT settlement and approximately $0.4 million for Rhode Island facility costs.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Property held for sale at December 31, 1999, consisted of $3.2 million relating to the Company's pilot plant facility located in Lincoln, Rhode Island. The Company suspended depreciation of these assets totalling approximately $140,000 for the quarter ended December 31, 1999. The balance reflected the $300,000 write-down included as part of the additional wind-down expenses recognized during the fourth quarter,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7" w:lineRule="exact"/>
        <w:rPr>
          <w:sz w:val="20"/>
          <w:szCs w:val="20"/>
          <w:color w:val="auto"/>
        </w:rPr>
      </w:pPr>
    </w:p>
    <w:p>
      <w:pPr>
        <w:ind w:left="348" w:hanging="348"/>
        <w:spacing w:after="0"/>
        <w:tabs>
          <w:tab w:leader="none" w:pos="3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In September 1997, a merger of a wholly owned subsidiary of the company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StemCells California, Inc. was completed in the form of a purchase. Through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merger, the Company acquired StemCells California, Inc. for a purchase price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totaling approximately $9,475,000, consisting of 1,320,691 shares of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common stock, valued at $6,600,000 and options and warrants for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purchase of 259,296 common shares at nominal consideration, valued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$1,300,000, the assumption of certain liabilities of $934,000 and transaction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costs of $641,000. Options and warrants were valued utilizing the intrinsic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method; the resultant value approximated the value determined using the Black-</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Scholes method. The purchase price was allocated, based upon an asset valuation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study using income approach methods, to license agreements valued at $1,131,000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be amortized over three years and acquired research and development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$8,344,000, which was expensed. The acquired research and development had not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reached scientific feasibility and had no alternative future uses. As part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acquisition of StemCells, Richard M. Rose, M.D., became President, Chief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 and director of the Company and Dr. Irving Weissman became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 of the Company.</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w:t>
      </w:r>
    </w:p>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469,000 options would vest over eight years. The</w:t>
      </w:r>
    </w:p>
    <w:p>
      <w:pPr>
        <w:spacing w:after="0" w:line="349"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7"/>
          </w:cols>
          <w:pgMar w:left="232" w:top="461" w:right="1440" w:bottom="1440" w:gutter="0" w:footer="0" w:header="0"/>
        </w:sectPr>
      </w:pPr>
    </w:p>
    <w:bookmarkStart w:id="71" w:name="page72"/>
    <w:bookmarkEnd w:id="7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 (CONTINUED)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expense associated with the grants that vested immediately was considered non-employee compensation and was based on the fair value of the options granted. The expense was considered immaterial. In connection with the 469,000 options issued to a non-employee, Dr. Anderson, the Company recorded deferred compensation of $1,750,000, the fair value of such options at the date of grant, which will be amortized over an eight-year period. The fair value was determined using the Black-Scholes method with the following inputs: volatility .594, expected life 8 years, dividend yield 0.0%, risk free rate 5.98%. If the milestones specified relating to the 1,031,000 option granted to non-employees Drs. Weissman and Gage are achieved, at that time the company will record compensation expense for the fair market value of such options determined using the Black-Scholes method. The company has also designated a pool of 400,000 options to be granted to persons in a position to make a significant contribution to the success of the stem cell program.</w:t>
      </w:r>
    </w:p>
    <w:p>
      <w:pPr>
        <w:spacing w:after="0" w:line="354"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Stem cell research is conducted pursuant to the provisions of an agreement between the company and Drs. Weissman and Gage providing for a two-year research plan. If the goals of the research plan are accomplished, the Company has agreed to fund continuing stem cell research. Increases in stem cells research funding of not more than 25% a year will be funded by the Company as long as the goals of the research plan are being met. However, the Company will retain the option of (i) ceasing or reducing brain stem cell research even if all research plan goals are met, but will be required to accelerate the vesting of all still-achievable performance based stock options, and (ii) ceasing or reducing non-brain stem cell research even if all plan goals are being met by affording the scientific research founders the opportunity to continue development of the non-brain stem cell research by licensing the technology related to such research to the founders in exchange for a payment to the Company equal to all prior Company funding for such research, plus royalty payments.</w:t>
      </w:r>
    </w:p>
    <w:p>
      <w:pPr>
        <w:spacing w:after="0" w:line="16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MODEX</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 In the transactions, the Company reduced its ownership interest from 50% to approximately 25% in exchange for $4 million cash and elimination of its prior contingent obligation to contribute an additional Sfr 2.4 million (approximately $1.7 million) to Modex in July 1998. In the transactions, all of the put and call arrangements between the Company and other stockholders of Modex were eliminated and the Company forgave $463,000 due from Modex to the Company. The Company recorded a gain on the transactions of $3,387,000.</w:t>
      </w:r>
    </w:p>
    <w:p>
      <w:pPr>
        <w:spacing w:after="0" w:line="179"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at December 31, 1999.</w:t>
      </w:r>
    </w:p>
    <w:p>
      <w:pPr>
        <w:spacing w:after="0" w:line="175" w:lineRule="exact"/>
        <w:rPr>
          <w:sz w:val="20"/>
          <w:szCs w:val="20"/>
          <w:color w:val="auto"/>
        </w:rPr>
      </w:pPr>
    </w:p>
    <w:p>
      <w:pPr>
        <w:jc w:val="both"/>
        <w:ind w:left="8" w:right="3079" w:firstLine="358"/>
        <w:spacing w:after="0" w:line="242" w:lineRule="auto"/>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461" w:right="1440" w:bottom="1440" w:gutter="0" w:footer="0" w:header="0"/>
        </w:sectPr>
      </w:pPr>
    </w:p>
    <w:bookmarkStart w:id="72" w:name="page73"/>
    <w:bookmarkEnd w:id="7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MARKETABLE SECURITIES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During 1999, the Company sold all of its remaining marketable equitable securities. At December 31, 1999, all of the Company's available funds were held in cash and cash equivalents. The following is a summary of available-for-sale securities held at December 31, 1998:</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 1998</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47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GROSS</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UNREALIZED</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UNREALIZED</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ESTIMATED</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COST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GAINS</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LOSSES</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FAIR VALUE</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government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$ 1,500,994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(504)</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$ 1,502,210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U.S. corporate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9,225,095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3,244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(9,658)</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9,218,681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Total debt securities..........................</w:t>
            </w: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$10,726,089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$4,964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$(10,162)</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10,720,891</w:t>
            </w:r>
          </w:p>
        </w:tc>
      </w:tr>
      <w:tr>
        <w:trPr>
          <w:trHeight w:val="172"/>
        </w:trPr>
        <w:tc>
          <w:tcPr>
            <w:tcW w:w="428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cash and cash</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equivalents..................................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(1,199,952)</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Debt securities included in marketable</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$ 9,520,939</w:t>
            </w:r>
          </w:p>
        </w:tc>
      </w:tr>
      <w:tr>
        <w:trPr>
          <w:trHeight w:val="172"/>
        </w:trPr>
        <w:tc>
          <w:tcPr>
            <w:tcW w:w="4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31,</w:t>
            </w:r>
          </w:p>
        </w:tc>
      </w:tr>
      <w:tr>
        <w:trPr>
          <w:trHeight w:val="172"/>
        </w:trPr>
        <w:tc>
          <w:tcPr>
            <w:tcW w:w="4740" w:type="dxa"/>
            <w:vAlign w:val="bottom"/>
          </w:tcPr>
          <w:p>
            <w:pPr>
              <w:spacing w:after="0"/>
              <w:rPr>
                <w:sz w:val="14"/>
                <w:szCs w:val="14"/>
                <w:color w:val="auto"/>
              </w:rPr>
            </w:pPr>
          </w:p>
        </w:tc>
        <w:tc>
          <w:tcPr>
            <w:tcW w:w="2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Building 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665,890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5,665,077</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1,691,096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9,887,251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219,260</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869,831</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2,576,286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16,422,159</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828,401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8,066,150</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1,747,885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8,356,009</w:t>
            </w:r>
          </w:p>
        </w:tc>
      </w:tr>
      <w:tr>
        <w:trPr>
          <w:trHeight w:val="172"/>
        </w:trPr>
        <w:tc>
          <w:tcPr>
            <w:tcW w:w="47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Depreciation and amortization expense was $1,436,000, $1,720,000, and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$1,778,000 for the years ending December 31, 1999, 1998 and 1997, respectively.</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As part of the Company's restructuring of its operations, sale of its encapsulated cell technology ("ECT"), and relocation of its corporate headquarters to Sunnyvale, California, the Company identified machinery and equipment and furniture and fixtures associated with the ECT or otherwise no longer needed. In December of 1999, the Company disposed of these excess fixed assets, realizing proceeds of approximately $746,000. At the time of the sale, these assets had a net book value of approximately $1,063,000 after a third quarter 1999 write-down of $800,000, which was based on management's estimate of expected sale proceeds. The third quarter write-down and actual fourth quarter loss were included in wind-down expenses.</w:t>
      </w:r>
    </w:p>
    <w:p>
      <w:pPr>
        <w:spacing w:after="0" w:line="177"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Certain property, plant and equipment have been acquired under capitalized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 obligations. These assets totaled $5,827,000 and $6,587,000, at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1999 and 1998, respectively, with related accumulated amortization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$2,747,000 and $2,860,000 at December 31, 1999 and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7"/>
          </w:cols>
          <w:pgMar w:left="232" w:top="461" w:right="1440" w:bottom="1440" w:gutter="0" w:footer="0" w:header="0"/>
        </w:sectPr>
      </w:pPr>
    </w:p>
    <w:bookmarkStart w:id="73" w:name="page74"/>
    <w:bookmarkEnd w:id="73"/>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4"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respectively. As a result of the Company's decision to exit ECT and relocate to Sunnyvale, CA, this property has been classified as held for sale at December 31, 1999.</w:t>
      </w:r>
    </w:p>
    <w:p>
      <w:pPr>
        <w:spacing w:after="0" w:line="174"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4"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708,823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$3,938,755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License agreements,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282,750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659,750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Restricted cash......................................</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603,467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117,195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123,701</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1,858,768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$6,075,663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decrease in patents from 1999 to 1998 was primarily due to management's decision to exit encapsulated cell technology and dispose of the related intellectual property. Management reached this decision during the third quarter of 1999, and established a reserve that included $260,000 directly related to the write-down of encapsulated cell technology patents. During the fourth quarter, management established an additional reserve that included a $180,000 loss associated with the sale of encapsulated cell technology patents worth $3,180,000.</w:t>
      </w:r>
    </w:p>
    <w:p>
      <w:pPr>
        <w:spacing w:after="0" w:line="177" w:lineRule="exact"/>
        <w:rPr>
          <w:sz w:val="20"/>
          <w:szCs w:val="20"/>
          <w:color w:val="auto"/>
        </w:rPr>
      </w:pPr>
    </w:p>
    <w:p>
      <w:pPr>
        <w:ind w:left="8" w:right="3439" w:firstLine="358"/>
        <w:spacing w:after="0"/>
        <w:rPr>
          <w:sz w:val="20"/>
          <w:szCs w:val="20"/>
          <w:color w:val="auto"/>
        </w:rPr>
      </w:pPr>
      <w:r>
        <w:rPr>
          <w:rFonts w:ascii="Courier New" w:cs="Courier New" w:eastAsia="Courier New" w:hAnsi="Courier New"/>
          <w:sz w:val="15"/>
          <w:szCs w:val="15"/>
          <w:color w:val="auto"/>
        </w:rPr>
        <w:t>At December 31, 1999 and 1998, accumulated amortization was $857,000 and $818,000, respectively, for patents and license agreements.</w:t>
      </w:r>
    </w:p>
    <w:p>
      <w:pPr>
        <w:spacing w:after="0" w:line="174" w:lineRule="exact"/>
        <w:rPr>
          <w:sz w:val="20"/>
          <w:szCs w:val="20"/>
          <w:color w:val="auto"/>
        </w:rPr>
      </w:pPr>
    </w:p>
    <w:p>
      <w:pPr>
        <w:ind w:left="448" w:hanging="448"/>
        <w:spacing w:after="0"/>
        <w:tabs>
          <w:tab w:leader="none" w:pos="4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140" w:type="dxa"/>
            <w:vAlign w:val="bottom"/>
            <w:gridSpan w:val="3"/>
          </w:tcPr>
          <w:p>
            <w:pPr>
              <w:jc w:val="right"/>
              <w:ind w:right="4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82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Wind-down expenses...................................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$1,634,522</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External services....................................</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97,439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Employee compensation................................</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306,342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262,679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Collaborative research...............................</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222,140</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196,505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344,625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148,682</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$2,605,068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$1,020,119</w:t>
            </w:r>
          </w:p>
        </w:tc>
      </w:tr>
      <w:tr>
        <w:trPr>
          <w:trHeight w:val="172"/>
        </w:trPr>
        <w:tc>
          <w:tcPr>
            <w:tcW w:w="482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reserve for wind-down expenses included approximately $1,172,000 relating to the RIPSAT settlement (Notes 4 and 11) and approximately $463,000 for the estimated six months of lease payments and operating costs for the Rhode Island facilities through an expected disposal date of June 30, 2000.</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461" w:right="1440" w:bottom="1440" w:gutter="0" w:footer="0" w:header="0"/>
        </w:sectPr>
      </w:pPr>
    </w:p>
    <w:bookmarkStart w:id="74" w:name="page75"/>
    <w:bookmarkEnd w:id="74"/>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6"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 Funding Agreement dated as of June 22, 1989. On execution and delivery of this Agreement, IRBA agreed to return to the Company the full amount of the Company's debt service reserve ("Reserve Funds"), approximately $610,000 of principal and interest, relating to the bonds the Company has with IRBA and RIIFC. Such amount has been classified as debt service funds in current assets of the consolidated balance sheet.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1997, the Company completed construction of a new headquarters and laboratory facility. In November 1997, the Company entered into sale and leaseback agreements with a real estate investment trust. Under the terms of these agreements, the Company sold its new facility for $8,000,000, incurring a $342,000 loss on the sale. The Company simultaneously entered into a fifteen-year lease for the facility. The lease agreement calls for minimum rent of $750,000 for the first five years, $937,500 for years six to ten, $1,171,900 for years eleven to fourteen and $1,465,000 in year fifteen, with a $750,000 security deposit held for the term of the lease. The Company is recognizing rent expense on a straight line basis. At December 31, 1999, the Company had incurred $426,790 in deferred rent expense.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7"/>
          </w:cols>
          <w:pgMar w:left="232" w:top="461" w:right="1440" w:bottom="1440" w:gutter="0" w:footer="0" w:header="0"/>
        </w:sectPr>
      </w:pPr>
    </w:p>
    <w:bookmarkStart w:id="75" w:name="page76"/>
    <w:bookmarkEnd w:id="75"/>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176" w:lineRule="exact"/>
        <w:rPr>
          <w:sz w:val="20"/>
          <w:szCs w:val="20"/>
          <w:color w:val="auto"/>
        </w:rPr>
      </w:pPr>
    </w:p>
    <w:p>
      <w:pPr>
        <w:ind w:left="8" w:right="3339" w:firstLine="358"/>
        <w:spacing w:after="0"/>
        <w:rPr>
          <w:sz w:val="20"/>
          <w:szCs w:val="20"/>
          <w:color w:val="auto"/>
        </w:rPr>
      </w:pPr>
      <w:r>
        <w:rPr>
          <w:rFonts w:ascii="Courier New" w:cs="Courier New" w:eastAsia="Courier New" w:hAnsi="Courier New"/>
          <w:sz w:val="15"/>
          <w:szCs w:val="15"/>
          <w:color w:val="auto"/>
        </w:rPr>
        <w:t>Future minimum capitalized lease obligations with non-cancelable terms in excess of one year at December 31, 1999,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606,268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589,217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519,719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436,909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425,713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2,577,826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5,302,407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2,041,157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Rent expense for the years ended December 31, 1999, 1998 and 1997, was $947,000, $1,052,000 and $499,000, respectively.</w:t>
      </w:r>
    </w:p>
    <w:p>
      <w:pPr>
        <w:spacing w:after="0" w:line="174" w:lineRule="exact"/>
        <w:rPr>
          <w:sz w:val="20"/>
          <w:szCs w:val="20"/>
          <w:color w:val="auto"/>
        </w:rPr>
      </w:pPr>
    </w:p>
    <w:p>
      <w:pPr>
        <w:ind w:left="448" w:hanging="448"/>
        <w:spacing w:after="0"/>
        <w:tabs>
          <w:tab w:leader="none" w:pos="4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Long-term debt is as follows:</w:t>
      </w:r>
    </w:p>
    <w:p>
      <w:pPr>
        <w:spacing w:after="0" w:line="200" w:lineRule="exact"/>
        <w:rPr>
          <w:sz w:val="20"/>
          <w:szCs w:val="20"/>
          <w:color w:val="auto"/>
        </w:rPr>
      </w:pPr>
    </w:p>
    <w:p>
      <w:pPr>
        <w:spacing w:after="0" w:line="318"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94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5548"/>
        <w:spacing w:after="0"/>
        <w:tabs>
          <w:tab w:leader="none" w:pos="668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 note payable, interest at the prime rate plus 1/2%</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(8.75% at December 31, 1998), principal payments commence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 August 1998, due ratably through May 2000; secured by</w:t>
      </w:r>
    </w:p>
    <w:p>
      <w:pPr>
        <w:sectPr>
          <w:pgSz w:w="11900" w:h="16838" w:orient="portrait"/>
          <w:cols w:equalWidth="0" w:num="1">
            <w:col w:w="10227"/>
          </w:cols>
          <w:pgMar w:left="232" w:top="461"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certain equipment (prepaid during 1999)...................</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Current maturities of long-term debt........................</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Long-term debt, less current maturities.....................</w:t>
      </w:r>
    </w:p>
    <w:p>
      <w:pPr>
        <w:spacing w:after="0" w:line="20" w:lineRule="exact"/>
        <w:rPr>
          <w:sz w:val="20"/>
          <w:szCs w:val="20"/>
          <w:color w:val="auto"/>
        </w:rPr>
      </w:pPr>
      <w:r>
        <w:rPr>
          <w:sz w:val="20"/>
          <w:szCs w:val="20"/>
          <w:color w:val="auto"/>
        </w:rPr>
        <w:br w:type="column"/>
      </w: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7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619"/>
        <w:spacing w:after="0"/>
        <w:rPr>
          <w:sz w:val="20"/>
          <w:szCs w:val="20"/>
          <w:color w:val="auto"/>
        </w:rPr>
      </w:pPr>
      <w:r>
        <w:rPr>
          <w:rFonts w:ascii="Courier New" w:cs="Courier New" w:eastAsia="Courier New" w:hAnsi="Courier New"/>
          <w:sz w:val="15"/>
          <w:szCs w:val="15"/>
          <w:color w:val="auto"/>
        </w:rPr>
        <w:t>$1,500,000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1,000,000</w:t>
      </w:r>
    </w:p>
    <w:p>
      <w:pPr>
        <w:spacing w:after="0" w:line="4"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spacing w:after="0"/>
        <w:tabs>
          <w:tab w:leader="none" w:pos="240" w:val="left"/>
        </w:tabs>
        <w:rPr>
          <w:sz w:val="20"/>
          <w:szCs w:val="20"/>
          <w:color w:val="auto"/>
        </w:rPr>
      </w:pPr>
      <w:r>
        <w:rPr>
          <w:rFonts w:ascii="Courier New" w:cs="Courier New" w:eastAsia="Courier New" w:hAnsi="Courier New"/>
          <w:sz w:val="15"/>
          <w:szCs w:val="15"/>
          <w:color w:val="auto"/>
        </w:rPr>
        <w:t>$</w:t>
        <w:tab/>
        <w:t>500,000</w:t>
      </w:r>
    </w:p>
    <w:p>
      <w:pPr>
        <w:spacing w:after="0" w:line="2"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368" w:space="180"/>
            <w:col w:w="900" w:space="260"/>
            <w:col w:w="3519"/>
          </w:cols>
          <w:pgMar w:left="232" w:top="461" w:right="1440" w:bottom="1440" w:gutter="0" w:footer="0" w:header="0"/>
          <w:type w:val="continuous"/>
        </w:sectPr>
      </w:pPr>
    </w:p>
    <w:p>
      <w:pPr>
        <w:spacing w:after="0" w:line="146" w:lineRule="exact"/>
        <w:rPr>
          <w:sz w:val="20"/>
          <w:szCs w:val="20"/>
          <w:color w:val="auto"/>
        </w:rPr>
      </w:pPr>
    </w:p>
    <w:p>
      <w:pPr>
        <w:ind w:left="448" w:hanging="448"/>
        <w:spacing w:after="0"/>
        <w:tabs>
          <w:tab w:leader="none" w:pos="4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program by more than</w:t>
      </w:r>
    </w:p>
    <w:p>
      <w:pPr>
        <w:spacing w:after="0" w:line="7" w:lineRule="exact"/>
        <w:rPr>
          <w:sz w:val="20"/>
          <w:szCs w:val="20"/>
          <w:color w:val="auto"/>
        </w:rPr>
      </w:pPr>
    </w:p>
    <w:p>
      <w:pPr>
        <w:ind w:left="8" w:right="3159"/>
        <w:spacing w:after="0" w:line="265"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w:t>
      </w:r>
    </w:p>
    <w:p>
      <w:pPr>
        <w:spacing w:after="0" w:line="15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7"/>
          </w:cols>
          <w:pgMar w:left="232" w:top="461" w:right="1440" w:bottom="1440" w:gutter="0" w:footer="0" w:header="0"/>
          <w:type w:val="continuous"/>
        </w:sectPr>
      </w:pPr>
    </w:p>
    <w:bookmarkStart w:id="76" w:name="page77"/>
    <w:bookmarkEnd w:id="76"/>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COMMON STOCK (CONTINUED)</w:t>
      </w:r>
    </w:p>
    <w:p>
      <w:pPr>
        <w:spacing w:after="0" w:line="4" w:lineRule="exact"/>
        <w:rPr>
          <w:sz w:val="20"/>
          <w:szCs w:val="20"/>
          <w:color w:val="auto"/>
        </w:rPr>
      </w:pPr>
    </w:p>
    <w:p>
      <w:pPr>
        <w:ind w:left="8" w:right="3320"/>
        <w:spacing w:after="0" w:line="261" w:lineRule="auto"/>
        <w:rPr>
          <w:sz w:val="20"/>
          <w:szCs w:val="20"/>
          <w:color w:val="auto"/>
        </w:rPr>
      </w:pPr>
      <w:r>
        <w:rPr>
          <w:rFonts w:ascii="Courier New" w:cs="Courier New" w:eastAsia="Courier New" w:hAnsi="Courier New"/>
          <w:sz w:val="14"/>
          <w:szCs w:val="14"/>
          <w:color w:val="auto"/>
        </w:rPr>
        <w:t>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recorded at December 31, 1999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5" w:lineRule="exact"/>
        <w:rPr>
          <w:sz w:val="20"/>
          <w:szCs w:val="20"/>
          <w:color w:val="auto"/>
        </w:rPr>
      </w:pPr>
    </w:p>
    <w:p>
      <w:pPr>
        <w:ind w:left="448" w:hanging="448"/>
        <w:spacing w:after="0"/>
        <w:tabs>
          <w:tab w:leader="none" w:pos="4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TO BE ISSUED</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74" w:lineRule="exact"/>
        <w:rPr>
          <w:sz w:val="20"/>
          <w:szCs w:val="20"/>
          <w:color w:val="auto"/>
        </w:rPr>
      </w:pPr>
    </w:p>
    <w:p>
      <w:pPr>
        <w:ind w:left="448" w:hanging="448"/>
        <w:spacing w:after="0"/>
        <w:tabs>
          <w:tab w:leader="none" w:pos="4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6" w:lineRule="exact"/>
        <w:rPr>
          <w:sz w:val="20"/>
          <w:szCs w:val="20"/>
          <w:color w:val="auto"/>
        </w:rPr>
      </w:pPr>
    </w:p>
    <w:p>
      <w:pPr>
        <w:ind w:left="8" w:right="3320" w:firstLine="358"/>
        <w:spacing w:after="0" w:line="242" w:lineRule="auto"/>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1999, the Company had reserved 2,603,736 shares of common stock for the exercise of stock options.</w:t>
      </w:r>
    </w:p>
    <w:p>
      <w:pPr>
        <w:spacing w:after="0" w:line="179" w:lineRule="exact"/>
        <w:rPr>
          <w:sz w:val="20"/>
          <w:szCs w:val="20"/>
          <w:color w:val="auto"/>
        </w:rPr>
      </w:pPr>
    </w:p>
    <w:p>
      <w:pPr>
        <w:ind w:left="8" w:right="3580" w:firstLine="358"/>
        <w:spacing w:after="0" w:line="241"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jc w:val="right"/>
              <w:ind w:right="1045"/>
              <w:spacing w:after="0"/>
              <w:rPr>
                <w:sz w:val="20"/>
                <w:szCs w:val="20"/>
                <w:color w:val="auto"/>
              </w:rPr>
            </w:pPr>
            <w:r>
              <w:rPr>
                <w:rFonts w:ascii="Courier New" w:cs="Courier New" w:eastAsia="Courier New" w:hAnsi="Courier New"/>
                <w:sz w:val="15"/>
                <w:szCs w:val="15"/>
                <w:color w:val="auto"/>
                <w:w w:val="94"/>
              </w:rPr>
              <w:t>1999</w:t>
            </w:r>
          </w:p>
        </w:tc>
        <w:tc>
          <w:tcPr>
            <w:tcW w:w="1120" w:type="dxa"/>
            <w:vAlign w:val="bottom"/>
          </w:tcPr>
          <w:p>
            <w:pPr>
              <w:spacing w:after="0"/>
              <w:rPr>
                <w:sz w:val="14"/>
                <w:szCs w:val="14"/>
                <w:color w:val="auto"/>
              </w:rPr>
            </w:pPr>
          </w:p>
        </w:tc>
        <w:tc>
          <w:tcPr>
            <w:tcW w:w="1560" w:type="dxa"/>
            <w:vAlign w:val="bottom"/>
          </w:tcPr>
          <w:p>
            <w:pPr>
              <w:jc w:val="right"/>
              <w:ind w:right="1145"/>
              <w:spacing w:after="0"/>
              <w:rPr>
                <w:sz w:val="20"/>
                <w:szCs w:val="20"/>
                <w:color w:val="auto"/>
              </w:rPr>
            </w:pPr>
            <w:r>
              <w:rPr>
                <w:rFonts w:ascii="Courier New" w:cs="Courier New" w:eastAsia="Courier New" w:hAnsi="Courier New"/>
                <w:sz w:val="15"/>
                <w:szCs w:val="15"/>
                <w:color w:val="auto"/>
                <w:w w:val="88"/>
              </w:rPr>
              <w:t>1998</w:t>
            </w:r>
          </w:p>
        </w:tc>
        <w:tc>
          <w:tcPr>
            <w:tcW w:w="1080" w:type="dxa"/>
            <w:vAlign w:val="bottom"/>
          </w:tcPr>
          <w:p>
            <w:pPr>
              <w:spacing w:after="0"/>
              <w:rPr>
                <w:sz w:val="14"/>
                <w:szCs w:val="14"/>
                <w:color w:val="auto"/>
              </w:rPr>
            </w:pPr>
          </w:p>
        </w:tc>
        <w:tc>
          <w:tcPr>
            <w:tcW w:w="138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2760" w:type="dxa"/>
            <w:vAlign w:val="bottom"/>
          </w:tcPr>
          <w:p>
            <w:pPr>
              <w:spacing w:after="0"/>
              <w:rPr>
                <w:sz w:val="14"/>
                <w:szCs w:val="14"/>
                <w:color w:val="auto"/>
              </w:rPr>
            </w:pPr>
          </w:p>
        </w:tc>
        <w:tc>
          <w:tcPr>
            <w:tcW w:w="25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WEIGHTED</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2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5"/>
                <w:szCs w:val="15"/>
                <w:color w:val="auto"/>
              </w:rPr>
              <w:t>AVERAGE</w:t>
            </w:r>
          </w:p>
        </w:tc>
        <w:tc>
          <w:tcPr>
            <w:tcW w:w="1120" w:type="dxa"/>
            <w:vAlign w:val="bottom"/>
          </w:tcPr>
          <w:p>
            <w:pPr>
              <w:spacing w:after="0"/>
              <w:rPr>
                <w:sz w:val="14"/>
                <w:szCs w:val="14"/>
                <w:color w:val="auto"/>
              </w:rPr>
            </w:pP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c>
          <w:tcPr>
            <w:tcW w:w="108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EXERCISE PRICE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1,654,126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2,446,573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$7.48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2,423,025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536,078</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1.08</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1,174,118</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679,074</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(604,362)</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(82,737)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(646,507)</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(572,789)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9.21</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939,335</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$2.65</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1,654,126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2,446,573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2"/>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594,216</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$3.44</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1,108,936</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1,338,163</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$7.79</w:t>
            </w:r>
          </w:p>
        </w:tc>
      </w:tr>
      <w:tr>
        <w:trPr>
          <w:trHeight w:val="172"/>
        </w:trPr>
        <w:tc>
          <w:tcPr>
            <w:tcW w:w="27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276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F-18</w:t>
            </w: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468"/>
          </w:cols>
          <w:pgMar w:left="232" w:top="461" w:right="1199" w:bottom="1440" w:gutter="0" w:footer="0" w:header="0"/>
        </w:sectPr>
      </w:pPr>
    </w:p>
    <w:bookmarkStart w:id="77" w:name="page78"/>
    <w:bookmarkEnd w:id="77"/>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On July 10, 1998, the Company re-priced 751,018 outstanding stock options. No compensation expense was recorded since the re-priced options carried an exercise equal to the market price of the Company's common stock on the date of the re-pricing.</w:t>
      </w:r>
    </w:p>
    <w:p>
      <w:pPr>
        <w:spacing w:after="0" w:line="200" w:lineRule="exact"/>
        <w:rPr>
          <w:sz w:val="20"/>
          <w:szCs w:val="20"/>
          <w:color w:val="auto"/>
        </w:rPr>
      </w:pPr>
    </w:p>
    <w:p>
      <w:pPr>
        <w:spacing w:after="0" w:line="319"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75,384 of these options are exercisable at December 31, 1997, 96,750 of these options vest and become exercisable only upon achievement of specified milestones, and the remaining 78,210 options vest over three years from the date of grant. The value of such options utilizing the intrinsic method, which, approximated the value determined using the Black-Scholes method, were accounted for as part of the StemCells California acquisition price. Additionally, the Company adopted the 1997 CytoTherapeutics, Inc. StemCells California Research Stock Option Plan (the StemCells California Research Plan) whereby an additional 2,000,000 shares of Common Stock have been reserved. During 1997, the Company awarded options under the StemCells Research Plan to purchase 1.6 million shares of the Company's common stock to the Chief Executive Officer and scientific founders of StemCells at an exercise price of $5.25 per share. Under the original grants, approximately 100,000 of these options were exercisable immediately on the date of grant, 1,031,000 of these options would vest and become exercisable only upon achievement of specified milestones and the remaining 469,000 options would vest over eight years. Options granted to Dr. Rose, in his capacity as Chief Executive Officer, were valued using the intrinsic value method, in accordance with the provisions of APB 25, ACCOUNTING FOR STOCK ISSUED TO EMPLOYEES. Options granted to non-employees Drs. Weissman, Gage and Anderson were accounted for using the fair value method in accordance with the provisions of Statement of Financial Accounting Standards No. 123, ACCOUNTING FOR STOCK-BASED COMPENSATION.</w:t>
      </w:r>
    </w:p>
    <w:p>
      <w:pPr>
        <w:spacing w:after="0" w:line="34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FAS 123 DISCLOSURES</w:t>
      </w:r>
    </w:p>
    <w:p>
      <w:pPr>
        <w:spacing w:after="0" w:line="176"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75" w:lineRule="exact"/>
        <w:rPr>
          <w:sz w:val="20"/>
          <w:szCs w:val="20"/>
          <w:color w:val="auto"/>
        </w:rPr>
      </w:pPr>
    </w:p>
    <w:p>
      <w:pPr>
        <w:ind w:left="8" w:right="3439" w:firstLine="358"/>
        <w:spacing w:after="0" w:line="274"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1999:</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000" w:type="dxa"/>
            <w:vAlign w:val="bottom"/>
          </w:tcPr>
          <w:p>
            <w:pPr>
              <w:spacing w:after="0"/>
              <w:rPr>
                <w:sz w:val="14"/>
                <w:szCs w:val="14"/>
                <w:color w:val="auto"/>
              </w:rPr>
            </w:pPr>
          </w:p>
        </w:tc>
        <w:tc>
          <w:tcPr>
            <w:tcW w:w="21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OPTIONS EXERCISABLE</w:t>
            </w:r>
          </w:p>
        </w:tc>
      </w:tr>
      <w:tr>
        <w:trPr>
          <w:trHeight w:val="172"/>
        </w:trPr>
        <w:tc>
          <w:tcPr>
            <w:tcW w:w="3400" w:type="dxa"/>
            <w:vAlign w:val="bottom"/>
          </w:tcPr>
          <w:p>
            <w:pPr>
              <w:spacing w:after="0"/>
              <w:rPr>
                <w:sz w:val="14"/>
                <w:szCs w:val="14"/>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1"/>
              </w:rPr>
              <w:t>------------------------------------</w:t>
            </w:r>
          </w:p>
        </w:tc>
        <w:tc>
          <w:tcPr>
            <w:tcW w:w="1000" w:type="dxa"/>
            <w:vAlign w:val="bottom"/>
          </w:tcPr>
          <w:p>
            <w:pPr>
              <w:spacing w:after="0"/>
              <w:rPr>
                <w:sz w:val="14"/>
                <w:szCs w:val="14"/>
                <w:color w:val="auto"/>
              </w:rPr>
            </w:pPr>
          </w:p>
        </w:tc>
        <w:tc>
          <w:tcPr>
            <w:tcW w:w="21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WEIGHTED</w:t>
            </w: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AVERAGE</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3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REMAINING</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3400" w:type="dxa"/>
            <w:vAlign w:val="bottom"/>
          </w:tcPr>
          <w:p>
            <w:pPr>
              <w:ind w:left="1520"/>
              <w:spacing w:after="0"/>
              <w:rPr>
                <w:sz w:val="20"/>
                <w:szCs w:val="20"/>
                <w:color w:val="auto"/>
              </w:rPr>
            </w:pPr>
            <w:r>
              <w:rPr>
                <w:rFonts w:ascii="Courier New" w:cs="Courier New" w:eastAsia="Courier New" w:hAnsi="Courier New"/>
                <w:sz w:val="15"/>
                <w:szCs w:val="15"/>
                <w:color w:val="auto"/>
              </w:rPr>
              <w:t>RANGE OF</w:t>
            </w:r>
          </w:p>
        </w:tc>
        <w:tc>
          <w:tcPr>
            <w:tcW w:w="17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CONTRACTUAL</w:t>
            </w:r>
          </w:p>
        </w:tc>
        <w:tc>
          <w:tcPr>
            <w:tcW w:w="1000" w:type="dxa"/>
            <w:vAlign w:val="bottom"/>
          </w:tcPr>
          <w:p>
            <w:pPr>
              <w:ind w:left="6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EXERCISE</w:t>
            </w:r>
          </w:p>
        </w:tc>
      </w:tr>
      <w:tr>
        <w:trPr>
          <w:trHeight w:val="172"/>
        </w:trPr>
        <w:tc>
          <w:tcPr>
            <w:tcW w:w="3400" w:type="dxa"/>
            <w:vAlign w:val="bottom"/>
          </w:tcPr>
          <w:p>
            <w:pPr>
              <w:ind w:left="1160"/>
              <w:spacing w:after="0"/>
              <w:rPr>
                <w:sz w:val="20"/>
                <w:szCs w:val="20"/>
                <w:color w:val="auto"/>
              </w:rPr>
            </w:pPr>
            <w:r>
              <w:rPr>
                <w:rFonts w:ascii="Courier New" w:cs="Courier New" w:eastAsia="Courier New" w:hAnsi="Courier New"/>
                <w:sz w:val="15"/>
                <w:szCs w:val="15"/>
                <w:color w:val="auto"/>
              </w:rPr>
              <w:t>EXERCISE PRICES</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LIFE (YRS.)</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EXERCISABLE</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5"/>
              </w:rPr>
              <w:t>- ------------------------------------------</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Less than $5.00...........................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755,398</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8.50</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$ 1.12</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411,945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$ 1.02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$5.01-$10.00..............................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90,687</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4.56</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6.55</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89"/>
              </w:rPr>
              <w:t>Greater than $10.00.......................</w:t>
            </w: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93,250</w:t>
            </w:r>
          </w:p>
        </w:tc>
        <w:tc>
          <w:tcPr>
            <w:tcW w:w="120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2.54</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11.18</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93,250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11.18</w:t>
            </w: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939,335</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594,216</w:t>
            </w:r>
          </w:p>
        </w:tc>
        <w:tc>
          <w:tcPr>
            <w:tcW w:w="94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7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516"/>
        </w:trPr>
        <w:tc>
          <w:tcPr>
            <w:tcW w:w="3400" w:type="dxa"/>
            <w:vAlign w:val="bottom"/>
          </w:tcPr>
          <w:p>
            <w:pPr>
              <w:spacing w:after="0"/>
              <w:rPr>
                <w:sz w:val="24"/>
                <w:szCs w:val="24"/>
                <w:color w:val="auto"/>
              </w:rPr>
            </w:pPr>
          </w:p>
        </w:tc>
        <w:tc>
          <w:tcPr>
            <w:tcW w:w="1780" w:type="dxa"/>
            <w:vAlign w:val="bottom"/>
          </w:tcPr>
          <w:p>
            <w:pPr>
              <w:jc w:val="right"/>
              <w:ind w:right="1365"/>
              <w:spacing w:after="0"/>
              <w:rPr>
                <w:sz w:val="20"/>
                <w:szCs w:val="20"/>
                <w:color w:val="auto"/>
              </w:rPr>
            </w:pPr>
            <w:r>
              <w:rPr>
                <w:rFonts w:ascii="Courier New" w:cs="Courier New" w:eastAsia="Courier New" w:hAnsi="Courier New"/>
                <w:sz w:val="15"/>
                <w:szCs w:val="15"/>
                <w:color w:val="auto"/>
                <w:w w:val="88"/>
              </w:rPr>
              <w:t>F-19</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78" w:name="page79"/>
    <w:bookmarkEnd w:id="78"/>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403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1999, 1998, and 1997, as if the compensation cost for the option plans and the stock purchase plan had been determined based on the fair value at the grant date for grants in 1999, 1998, and 1997, consistent with the provisions of FAS 123:</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AS REPORTED</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1960" w:type="dxa"/>
            <w:vAlign w:val="bottom"/>
          </w:tcPr>
          <w:p>
            <w:pPr>
              <w:spacing w:after="0"/>
              <w:rPr>
                <w:sz w:val="14"/>
                <w:szCs w:val="14"/>
                <w:color w:val="auto"/>
              </w:rPr>
            </w:pP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$(15,764,569)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$(12,627,830)</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$(14,919,389)</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$(18,113,580)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$(19,924,437)</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w:t>
            </w:r>
          </w:p>
        </w:tc>
        <w:tc>
          <w:tcPr>
            <w:tcW w:w="14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bl>
    <w:p>
      <w:pPr>
        <w:spacing w:after="0" w:line="348" w:lineRule="exact"/>
        <w:rPr>
          <w:sz w:val="20"/>
          <w:szCs w:val="20"/>
          <w:color w:val="auto"/>
        </w:rPr>
      </w:pPr>
    </w:p>
    <w:p>
      <w:pPr>
        <w:ind w:left="8" w:right="4120" w:firstLine="358"/>
        <w:spacing w:after="0" w:line="242" w:lineRule="auto"/>
        <w:rPr>
          <w:sz w:val="20"/>
          <w:szCs w:val="20"/>
          <w:color w:val="auto"/>
        </w:rPr>
      </w:pPr>
      <w:r>
        <w:rPr>
          <w:rFonts w:ascii="Courier New" w:cs="Courier New" w:eastAsia="Courier New" w:hAnsi="Courier New"/>
          <w:sz w:val="15"/>
          <w:szCs w:val="15"/>
          <w:color w:val="auto"/>
        </w:rPr>
        <w:t>The weighted average fair value per share of options granted during 1999, 1998 and 1997 was $.88, $.82 and $3.40, respectively. The fair value of options and shares issued pursuant to the stock purchase plan at the date of grant were estimated using the Black-Scholes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4"/>
                <w:szCs w:val="14"/>
                <w:color w:val="auto"/>
              </w:rPr>
            </w:pPr>
          </w:p>
        </w:tc>
        <w:tc>
          <w:tcPr>
            <w:tcW w:w="28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STOCK PURCHASE PLAN</w:t>
            </w:r>
          </w:p>
        </w:tc>
      </w:tr>
      <w:tr>
        <w:trPr>
          <w:trHeight w:val="172"/>
        </w:trPr>
        <w:tc>
          <w:tcPr>
            <w:tcW w:w="4920" w:type="dxa"/>
            <w:vAlign w:val="bottom"/>
          </w:tcPr>
          <w:p>
            <w:pPr>
              <w:spacing w:after="0"/>
              <w:rPr>
                <w:sz w:val="14"/>
                <w:szCs w:val="14"/>
                <w:color w:val="auto"/>
              </w:rPr>
            </w:pPr>
          </w:p>
        </w:tc>
        <w:tc>
          <w:tcPr>
            <w:tcW w:w="23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3"/>
              </w:rPr>
              <w:t>------------------------------------</w:t>
            </w:r>
          </w:p>
        </w:tc>
        <w:tc>
          <w:tcPr>
            <w:tcW w:w="1120" w:type="dxa"/>
            <w:vAlign w:val="bottom"/>
          </w:tcPr>
          <w:p>
            <w:pPr>
              <w:spacing w:after="0"/>
              <w:rPr>
                <w:sz w:val="14"/>
                <w:szCs w:val="14"/>
                <w:color w:val="auto"/>
              </w:rPr>
            </w:pP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92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63.5%</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59.0%</w:t>
            </w:r>
          </w:p>
        </w:tc>
      </w:tr>
    </w:tbl>
    <w:p>
      <w:pPr>
        <w:spacing w:after="0" w:line="348" w:lineRule="exact"/>
        <w:rPr>
          <w:sz w:val="20"/>
          <w:szCs w:val="20"/>
          <w:color w:val="auto"/>
        </w:rPr>
      </w:pPr>
    </w:p>
    <w:p>
      <w:pPr>
        <w:ind w:left="8" w:right="4480" w:firstLine="358"/>
        <w:spacing w:after="0"/>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The effects on 1999, 1998 and 1997 pro forma net loss and net loss per share of expensing the estimated fair value of stock options and shares issued pursuant to the stock purchase plan are not necessarily representative of the effects on reporting the results of operations for future years as the period presented includes only four, three or two years, respectively, of option grants under the Company's plans. As required by FAS 123, the Company has used the Black-Scholes model for option valuation, which method may not accurately value the options described.</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WARRANTS</w:t>
      </w:r>
    </w:p>
    <w:p>
      <w:pPr>
        <w:spacing w:after="0" w:line="176" w:lineRule="exact"/>
        <w:rPr>
          <w:sz w:val="20"/>
          <w:szCs w:val="20"/>
          <w:color w:val="auto"/>
        </w:rPr>
      </w:pPr>
    </w:p>
    <w:p>
      <w:pPr>
        <w:ind w:left="8" w:right="4040" w:firstLine="358"/>
        <w:spacing w:after="0" w:line="242" w:lineRule="auto"/>
        <w:rPr>
          <w:sz w:val="20"/>
          <w:szCs w:val="20"/>
          <w:color w:val="auto"/>
        </w:rPr>
      </w:pPr>
      <w:r>
        <w:rPr>
          <w:rFonts w:ascii="Courier New" w:cs="Courier New" w:eastAsia="Courier New" w:hAnsi="Courier New"/>
          <w:sz w:val="15"/>
          <w:szCs w:val="15"/>
          <w:color w:val="auto"/>
        </w:rPr>
        <w:t>In conjunction with the StemCells California merger, the Company exchanged StemCells California warrants for warrants to purchase 8,952 shares of Company common stock at $4.71 per share; such warrants were valued using the intrinsic value method and were accounted for as part of the purchase price. In conjunction with various equipment leasing agreements, the Company had outstanding warrants to purchase 31,545 shares of common stock at prices ranging from $4.00 to $9.00 per share. The warrants expired in October 2000.</w:t>
      </w:r>
    </w:p>
    <w:p>
      <w:pPr>
        <w:spacing w:after="0" w:line="177" w:lineRule="exact"/>
        <w:rPr>
          <w:sz w:val="20"/>
          <w:szCs w:val="20"/>
          <w:color w:val="auto"/>
        </w:rPr>
      </w:pPr>
    </w:p>
    <w:p>
      <w:pPr>
        <w:ind w:left="8" w:right="4220" w:firstLine="358"/>
        <w:spacing w:after="0" w:line="242" w:lineRule="auto"/>
        <w:rPr>
          <w:sz w:val="20"/>
          <w:szCs w:val="20"/>
          <w:color w:val="auto"/>
        </w:rPr>
      </w:pPr>
      <w:r>
        <w:rPr>
          <w:rFonts w:ascii="Courier New" w:cs="Courier New" w:eastAsia="Courier New" w:hAnsi="Courier New"/>
          <w:sz w:val="15"/>
          <w:szCs w:val="15"/>
          <w:color w:val="auto"/>
        </w:rPr>
        <w:t>In connection with a public offering of common stock in April 1995, the Company issued warrants to purchase 434,500 shares of common stock at $8 per share. The warrants are nontransferable and expired in April 2000, subject to certain required exercise provisions. In addition to the foregoing rights, the holder of such warrants has the right, in the event the Company issues additional shares of common stock or other securities convertible into common stock, to purchase at the then market price of such common stock, sufficient additional shares of common stock to maintain the warrant holder's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1188"/>
          </w:cols>
          <w:pgMar w:left="232" w:top="461" w:right="479" w:bottom="1440" w:gutter="0" w:footer="0" w:header="0"/>
        </w:sectPr>
      </w:pPr>
    </w:p>
    <w:bookmarkStart w:id="79" w:name="page80"/>
    <w:bookmarkEnd w:id="79"/>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4"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percentage ownership of the Company's common stock at 15%. This right, subject to certain conditions and limitations, expired in April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RESERVED</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The Company has reserved 6,461,846 shares of common stock for the exercise of options, warrants and other contingent issuances of common stock.</w:t>
      </w:r>
    </w:p>
    <w:p>
      <w:pPr>
        <w:spacing w:after="0" w:line="174"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$77,000 in 1997, $307,000 in 1998, and $309,000 in 1999.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82" w:lineRule="exact"/>
        <w:rPr>
          <w:sz w:val="20"/>
          <w:szCs w:val="20"/>
          <w:color w:val="auto"/>
        </w:rPr>
      </w:pPr>
    </w:p>
    <w:p>
      <w:pPr>
        <w:ind w:left="8" w:right="3339" w:firstLine="358"/>
        <w:spacing w:after="0" w:line="242" w:lineRule="auto"/>
        <w:rPr>
          <w:sz w:val="20"/>
          <w:szCs w:val="20"/>
          <w:color w:val="auto"/>
        </w:rPr>
      </w:pPr>
      <w:r>
        <w:rPr>
          <w:rFonts w:ascii="Courier New" w:cs="Courier New" w:eastAsia="Courier New" w:hAnsi="Courier New"/>
          <w:sz w:val="15"/>
          <w:szCs w:val="15"/>
          <w:color w:val="auto"/>
        </w:rPr>
        <w:t>In April 1997, the Company entered into an agreement with Neurospheres, Ltd., which superseded all previous licensing agreements and settled a dispute with Neurospheres. Under the terms of the settlement, the Company has an exclusive royalty bearing license for growth-factor responsive stem cells for transplantation. Neurospheres had an option to acquire</w:t>
      </w:r>
    </w:p>
    <w:p>
      <w:pPr>
        <w:spacing w:after="0" w:line="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co-exclusive rights but did not exercise by the April 1998 deadline. The Company retains exclusive rights for transplantation. The parties have no further research obligations to each other, and the Company is under no obligation to provide additional funding.</w:t>
      </w:r>
    </w:p>
    <w:p>
      <w:pPr>
        <w:spacing w:after="0" w:line="175"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In February 1997, the Company and Cognetix, Inc. entered into a Collaboration and Development Agreement related to the Company's former encapsulated cell technology. As part of the agreement with Cognetix, the Company purchased $250,000 of Cognetix preferred stock and, subject to certain milestones, was obligated to purchase as much as $1,500,000 of additional Cognetix stock over the next year. In July 1997, the Company loaned $250,000 to Cognetix which was repaid with interest in October 1997. In October 1998, the Company sold the $250,000 of preferred stock back to Cognetix for $298,914. The Company is under no obligation to provide funding under this agreement.</w:t>
      </w:r>
    </w:p>
    <w:p>
      <w:pPr>
        <w:spacing w:after="0" w:line="162" w:lineRule="exact"/>
        <w:rPr>
          <w:sz w:val="20"/>
          <w:szCs w:val="20"/>
          <w:color w:val="auto"/>
        </w:rPr>
      </w:pPr>
    </w:p>
    <w:p>
      <w:pPr>
        <w:ind w:left="8" w:right="3159" w:firstLine="358"/>
        <w:spacing w:after="0" w:line="260" w:lineRule="auto"/>
        <w:rPr>
          <w:sz w:val="20"/>
          <w:szCs w:val="20"/>
          <w:color w:val="auto"/>
        </w:rPr>
      </w:pPr>
      <w:r>
        <w:rPr>
          <w:rFonts w:ascii="Courier New" w:cs="Courier New" w:eastAsia="Courier New" w:hAnsi="Courier New"/>
          <w:sz w:val="14"/>
          <w:szCs w:val="14"/>
          <w:color w:val="auto"/>
        </w:rPr>
        <w:t>In 1996, the Company signed certain collaborative development and licensing agreements with Genentech, Inc. Under the terms of one of those agreements, Genentech purchased 829,171 shares of redeemable common stock for $8.3 million to fund development of products to treat Parkinson's disease. Genentech had the right, at its discretion, to terminate the Parkinson's program at specified milestones in the program. The Agreement also provided that if the Parkinson's program were terminated and the funds the Company received from the sale of stock to Genentech pursuant to the Parkinson's agreement exceeded the expenses incurred by the Company in connection with such program by more than</w:t>
      </w:r>
    </w:p>
    <w:p>
      <w:pPr>
        <w:spacing w:after="0" w:line="2"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$1 million, Genentech had the right to require the Company to repurchase from Genentech shares of the Company's common stock having a value equal to the over funding, based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461" w:right="1440" w:bottom="1440" w:gutter="0" w:footer="0" w:header="0"/>
        </w:sectPr>
      </w:pPr>
    </w:p>
    <w:bookmarkStart w:id="80" w:name="page81"/>
    <w:bookmarkEnd w:id="80"/>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upon the share price paid by Genentech. As such, the common stock purchased by Genentech has been classified as redeemable common stock until the funds are expended on the program. On May 21, 1998, Genentech exercised its right to terminate the collaboration and negotiations ensued with respect to the amount of redeemable common stock to be redeemed in accordance with the agreement and the method of such redemption. In March 2000 the Company announced the settlement of this matter with Genentech and at that time the redeemable common stock was reclassified to common stock. The Company is under no obligation to provide additional funding to Genentech, Inc.</w:t>
      </w:r>
    </w:p>
    <w:p>
      <w:pPr>
        <w:spacing w:after="0" w:line="17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3"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$868,000, $1,259,000, and $1,326,000 for the years ended December 31, 1999, 1998 and 1997, respectively. The Company has no other significant collaborative research funding obligations.</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7"/>
          </w:cols>
          <w:pgMar w:left="232" w:top="461" w:right="1440" w:bottom="1440" w:gutter="0" w:footer="0" w:header="0"/>
        </w:sectPr>
      </w:pPr>
    </w:p>
    <w:bookmarkStart w:id="81" w:name="page82"/>
    <w:bookmarkEnd w:id="81"/>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Due to net losses incurred by the Company in each year since inception, no provision for income taxes has been recorded. At December 31, 1999, the Company had tax net operating loss carry forwards of $96,195,000 and research and development tax credit carry forwards of $4,035,000 which expire at various times through 2019. Due to the "change in ownership" provisions of the Tax Reform Act of 1986, the Company's utilization of its net operating loss carry forwards and tax credits may be subject to annual limitation in future periods.</w:t>
      </w:r>
    </w:p>
    <w:p>
      <w:pPr>
        <w:spacing w:after="0" w:line="164" w:lineRule="exact"/>
        <w:rPr>
          <w:sz w:val="20"/>
          <w:szCs w:val="20"/>
          <w:color w:val="auto"/>
        </w:rPr>
      </w:pPr>
    </w:p>
    <w:p>
      <w:pPr>
        <w:ind w:left="8" w:right="3159" w:firstLine="35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26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4,331,000</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$ 28,124,000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38,478,000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10,786,000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4,035,000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928,000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235,000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47,772,000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42,791,000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(1,537,000)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47,526,000</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41,254,000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(47,526,000)</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(41,254,000)</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4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Since there is uncertainty relating to the ultimate use of the loss carry forwards and tax credits, a valuation allowance has been recognized at December 31, 1999 and 1998, to fully offset the Company's deferred tax assets. The valuation allowance increased $6,272,000 in 1999, due primarily to the increases in net operating loss carry forwards and tax credits offset by reduction in capitalized research and development costs.</w:t>
      </w:r>
    </w:p>
    <w:p>
      <w:pPr>
        <w:spacing w:after="0" w:line="174" w:lineRule="exact"/>
        <w:rPr>
          <w:sz w:val="20"/>
          <w:szCs w:val="20"/>
          <w:color w:val="auto"/>
        </w:rPr>
      </w:pPr>
    </w:p>
    <w:p>
      <w:pPr>
        <w:ind w:left="448" w:hanging="448"/>
        <w:spacing w:after="0"/>
        <w:tabs>
          <w:tab w:leader="none" w:pos="4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$103,000, $146,000, and $169,000 for the years ended December 31, 1999, 1998 and 1997, respectively.</w:t>
      </w:r>
    </w:p>
    <w:p>
      <w:pPr>
        <w:spacing w:after="0" w:line="175" w:lineRule="exact"/>
        <w:rPr>
          <w:sz w:val="20"/>
          <w:szCs w:val="20"/>
          <w:color w:val="auto"/>
        </w:rPr>
      </w:pPr>
    </w:p>
    <w:p>
      <w:pPr>
        <w:ind w:left="448" w:hanging="448"/>
        <w:spacing w:after="0"/>
        <w:tabs>
          <w:tab w:leader="none" w:pos="4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348"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The Company is routinely involved in arbitration, litigation and other matters as part of the ordinary course of its business. While the resolution of any matter may have an impact on the Company's financial results for a particular reporting period, management believes the ultimate</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7"/>
          </w:cols>
          <w:pgMar w:left="232" w:top="461" w:right="1440" w:bottom="1440" w:gutter="0" w:footer="0" w:header="0"/>
        </w:sectPr>
      </w:pPr>
    </w:p>
    <w:bookmarkStart w:id="82" w:name="page83"/>
    <w:bookmarkEnd w:id="82"/>
    <w:p>
      <w:pPr>
        <w:ind w:left="1348"/>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 (CONTINUED)</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disposition of these matters will not have a materially adverse effect on the Company's consolidated financial position or results of operations.</w:t>
      </w:r>
    </w:p>
    <w:p>
      <w:pPr>
        <w:spacing w:after="0" w:line="174" w:lineRule="exact"/>
        <w:rPr>
          <w:sz w:val="20"/>
          <w:szCs w:val="20"/>
          <w:color w:val="auto"/>
        </w:rPr>
      </w:pPr>
    </w:p>
    <w:p>
      <w:pPr>
        <w:ind w:left="448" w:hanging="448"/>
        <w:spacing w:after="0"/>
        <w:tabs>
          <w:tab w:leader="none" w:pos="4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346"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On April 13, 2000, the Company completed arrangements to sell 1,500 shares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of 6% cumulative convertible preferred stock plus a warrant for 75,000 shares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Company's common stock to two members of its Board of Directors for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$1,500,000, on terms more favorable than it was then able to obtain from outside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investors. (SEE NOTE 3--"SALE OF 6% CUMULATIVE CONVERTIBLE PREFERRED STOCK.")</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7"/>
          </w:cols>
          <w:pgMar w:left="232" w:top="461" w:right="1440" w:bottom="1440" w:gutter="0" w:footer="0" w:header="0"/>
        </w:sectPr>
      </w:pPr>
    </w:p>
    <w:bookmarkStart w:id="83" w:name="page84"/>
    <w:bookmarkEnd w:id="83"/>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SEPTEMBER 30, 2000</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(NOTE 1)</w:t>
            </w:r>
          </w:p>
        </w:tc>
      </w:tr>
      <w:tr>
        <w:trPr>
          <w:trHeight w:val="172"/>
        </w:trPr>
        <w:tc>
          <w:tcPr>
            <w:tcW w:w="544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7,247,077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Technology sale receivable................................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768,521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1,210,791</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8,215,598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8,970,855</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Investments....................................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held for sale....................................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3,203,491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3,203,491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plant and equipment,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1,517,564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1,747,885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Intangible assets, net....................................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740,543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1,108,768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750,000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750,000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234,444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631,315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574,267</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2,605,068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327,083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324,167</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liabilities...................................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1,135,794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3,560,550</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460" w:type="dxa"/>
            <w:vAlign w:val="bottom"/>
          </w:tcPr>
          <w:p>
            <w:pPr>
              <w:spacing w:after="0"/>
              <w:rPr>
                <w:sz w:val="24"/>
                <w:szCs w:val="2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2,692,500</w:t>
            </w:r>
          </w:p>
        </w:tc>
        <w:tc>
          <w:tcPr>
            <w:tcW w:w="540" w:type="dxa"/>
            <w:vAlign w:val="bottom"/>
          </w:tcPr>
          <w:p>
            <w:pPr>
              <w:spacing w:after="0"/>
              <w:rPr>
                <w:sz w:val="24"/>
                <w:szCs w:val="2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2,937,083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Deposits....................................................</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rent...............................................</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650,984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502,353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Redeemable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5,248,610</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Preferred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1,500,000</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208,818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186,355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 in capital................................</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134,698,668</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123,917,758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(1,250,004)</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deficit.......................................</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(124,237,900)</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(119,372,710)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other comprehensive income....................</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27,204,333</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compensation.....................................</w:t>
            </w:r>
          </w:p>
        </w:tc>
        <w:tc>
          <w:tcPr>
            <w:tcW w:w="460" w:type="dxa"/>
            <w:vAlign w:val="bottom"/>
          </w:tcPr>
          <w:p>
            <w:pPr>
              <w:spacing w:after="0"/>
              <w:rPr>
                <w:sz w:val="14"/>
                <w:szCs w:val="14"/>
                <w:color w:val="auto"/>
              </w:rPr>
            </w:pPr>
          </w:p>
        </w:tc>
        <w:tc>
          <w:tcPr>
            <w:tcW w:w="14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(997,664)</w:t>
            </w:r>
          </w:p>
        </w:tc>
        <w:tc>
          <w:tcPr>
            <w:tcW w:w="54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(1,225,000)</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460" w:type="dxa"/>
            <w:vAlign w:val="bottom"/>
          </w:tcPr>
          <w:p>
            <w:pPr>
              <w:spacing w:after="0"/>
              <w:rPr>
                <w:sz w:val="14"/>
                <w:szCs w:val="14"/>
                <w:color w:val="auto"/>
              </w:rPr>
            </w:pP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37,126,251</w:t>
            </w:r>
          </w:p>
        </w:tc>
        <w:tc>
          <w:tcPr>
            <w:tcW w:w="5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3,506,403</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41,631,529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15,780,999</w:t>
            </w:r>
          </w:p>
        </w:tc>
      </w:tr>
      <w:tr>
        <w:trPr>
          <w:trHeight w:val="172"/>
        </w:trPr>
        <w:tc>
          <w:tcPr>
            <w:tcW w:w="5440" w:type="dxa"/>
            <w:vAlign w:val="bottom"/>
          </w:tcPr>
          <w:p>
            <w:pPr>
              <w:spacing w:after="0"/>
              <w:rPr>
                <w:sz w:val="14"/>
                <w:szCs w:val="14"/>
                <w:color w:val="auto"/>
              </w:rPr>
            </w:pPr>
          </w:p>
        </w:tc>
        <w:tc>
          <w:tcPr>
            <w:tcW w:w="18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461" w:right="1440" w:bottom="1440" w:gutter="0" w:footer="0" w:header="0"/>
        </w:sectPr>
      </w:pPr>
    </w:p>
    <w:bookmarkStart w:id="84" w:name="page85"/>
    <w:bookmarkEnd w:id="84"/>
    <w:p>
      <w:pPr>
        <w:jc w:val="center"/>
        <w:ind w:right="3179"/>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96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2"/>
        </w:trPr>
        <w:tc>
          <w:tcPr>
            <w:tcW w:w="5440" w:type="dxa"/>
            <w:vAlign w:val="bottom"/>
          </w:tcPr>
          <w:p>
            <w:pPr>
              <w:spacing w:after="0"/>
              <w:rPr>
                <w:sz w:val="14"/>
                <w:szCs w:val="14"/>
                <w:color w:val="auto"/>
              </w:rPr>
            </w:pPr>
          </w:p>
        </w:tc>
        <w:tc>
          <w:tcPr>
            <w:tcW w:w="2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5,021,707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3,350,101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8,432,262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2,172,137</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3,195,672</w:t>
            </w: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relocation..............................................</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768,733</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4,078,034</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6,290,971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15,705,968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from operations........................................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(6,290,971)</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income.........................................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218,480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504,114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(209,287)</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1,427,686</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fixed assets..........................</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(11,098)</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1,425,781</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200,501</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(4,865,190)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Deemed dividend (Note 2)..................................</w:t>
            </w:r>
          </w:p>
        </w:tc>
        <w:tc>
          <w:tcPr>
            <w:tcW w:w="360" w:type="dxa"/>
            <w:vAlign w:val="bottom"/>
          </w:tcPr>
          <w:p>
            <w:pPr>
              <w:spacing w:after="0"/>
              <w:rPr>
                <w:sz w:val="14"/>
                <w:szCs w:val="14"/>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(265,000)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 applicable to common shareholders..................</w:t>
            </w: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(5,130,190)</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(10,483,760)</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and diluted net loss per common share.................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 per</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w:t>
            </w:r>
          </w:p>
        </w:tc>
        <w:tc>
          <w:tcPr>
            <w:tcW w:w="36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19,682,590</w:t>
            </w:r>
          </w:p>
        </w:tc>
        <w:tc>
          <w:tcPr>
            <w:tcW w:w="3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18,560,675</w:t>
            </w:r>
          </w:p>
        </w:tc>
      </w:tr>
      <w:tr>
        <w:trPr>
          <w:trHeight w:val="172"/>
        </w:trPr>
        <w:tc>
          <w:tcPr>
            <w:tcW w:w="5440" w:type="dxa"/>
            <w:vAlign w:val="bottom"/>
          </w:tcPr>
          <w:p>
            <w:pPr>
              <w:spacing w:after="0"/>
              <w:rPr>
                <w:sz w:val="14"/>
                <w:szCs w:val="14"/>
                <w:color w:val="auto"/>
              </w:rPr>
            </w:pPr>
          </w:p>
        </w:tc>
        <w:tc>
          <w:tcPr>
            <w:tcW w:w="14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461" w:right="1440" w:bottom="1440" w:gutter="0" w:footer="0" w:header="0"/>
        </w:sectPr>
      </w:pPr>
    </w:p>
    <w:bookmarkStart w:id="85" w:name="page86"/>
    <w:bookmarkEnd w:id="85"/>
    <w:p>
      <w:pPr>
        <w:ind w:left="134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5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5440" w:type="dxa"/>
            <w:vAlign w:val="bottom"/>
          </w:tcPr>
          <w:p>
            <w:pPr>
              <w:spacing w:after="0"/>
              <w:rPr>
                <w:sz w:val="14"/>
                <w:szCs w:val="14"/>
                <w:color w:val="auto"/>
              </w:rPr>
            </w:pPr>
          </w:p>
        </w:tc>
        <w:tc>
          <w:tcPr>
            <w:tcW w:w="25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$(4,865,190)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on sale of Modex shares..............................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Adjustments to reconcile net loss to net cash used for</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operating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617,447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1,603,691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 down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stock compensation.............................</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464,363</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244,337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fixed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(3,086,775)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operating activities.....................</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(8,297,841)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11,317,482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Purchases of marketable securities........................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Modex shares........................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1,427,686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Acquisition of other assets...............................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4,208,785</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6,734,505</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553,586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548,225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common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4,764,150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issuance of preferred stock.................</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1,500,000</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mortgage payable........................................</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(241,667)</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(1,710,833)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6,576,069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2,487,013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4,760,064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7,864,788</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$ 7,247,077</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3,688,923</w:t>
            </w:r>
          </w:p>
        </w:tc>
      </w:tr>
      <w:tr>
        <w:trPr>
          <w:trHeight w:val="172"/>
        </w:trPr>
        <w:tc>
          <w:tcPr>
            <w:tcW w:w="5440" w:type="dxa"/>
            <w:vAlign w:val="bottom"/>
          </w:tcPr>
          <w:p>
            <w:pPr>
              <w:spacing w:after="0"/>
              <w:rPr>
                <w:sz w:val="14"/>
                <w:szCs w:val="14"/>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Non-cash item:</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 subscription receivable.............................</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$ 1,250,004</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61" w:right="1440" w:bottom="1440" w:gutter="0" w:footer="0" w:header="0"/>
        </w:sectPr>
      </w:pPr>
    </w:p>
    <w:bookmarkStart w:id="86" w:name="page87"/>
    <w:bookmarkEnd w:id="86"/>
    <w:p>
      <w:pPr>
        <w:ind w:left="70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200" w:lineRule="exact"/>
        <w:rPr>
          <w:sz w:val="20"/>
          <w:szCs w:val="20"/>
          <w:color w:val="auto"/>
        </w:rPr>
      </w:pPr>
    </w:p>
    <w:p>
      <w:pPr>
        <w:spacing w:after="0" w:line="320"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w:t>
      </w:r>
    </w:p>
    <w:p>
      <w:pPr>
        <w:spacing w:after="0" w:line="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200" w:lineRule="exact"/>
        <w:rPr>
          <w:sz w:val="20"/>
          <w:szCs w:val="20"/>
          <w:color w:val="auto"/>
        </w:rPr>
      </w:pPr>
    </w:p>
    <w:p>
      <w:pPr>
        <w:spacing w:after="0" w:line="322"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63" w:lineRule="auto"/>
        <w:rPr>
          <w:sz w:val="20"/>
          <w:szCs w:val="20"/>
          <w:color w:val="auto"/>
        </w:rPr>
      </w:pPr>
      <w:r>
        <w:rPr>
          <w:rFonts w:ascii="Courier New" w:cs="Courier New" w:eastAsia="Courier New" w:hAnsi="Courier New"/>
          <w:sz w:val="14"/>
          <w:szCs w:val="14"/>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5 "Beneficial Conversion Value of 6% Cumulative Convertible Preferred Stock.) Common equivalent shares from stock options and warrants are excluded, as their effect is antidilutive.</w:t>
      </w:r>
    </w:p>
    <w:p>
      <w:pPr>
        <w:spacing w:after="0" w:line="200" w:lineRule="exact"/>
        <w:rPr>
          <w:sz w:val="20"/>
          <w:szCs w:val="20"/>
          <w:color w:val="auto"/>
        </w:rPr>
      </w:pPr>
    </w:p>
    <w:p>
      <w:pPr>
        <w:spacing w:after="0" w:line="30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200" w:lineRule="exact"/>
        <w:rPr>
          <w:sz w:val="20"/>
          <w:szCs w:val="20"/>
          <w:color w:val="auto"/>
        </w:rPr>
      </w:pPr>
    </w:p>
    <w:p>
      <w:pPr>
        <w:spacing w:after="0" w:line="320"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200" w:lineRule="exact"/>
        <w:rPr>
          <w:sz w:val="20"/>
          <w:szCs w:val="20"/>
          <w:color w:val="auto"/>
        </w:rPr>
      </w:pPr>
    </w:p>
    <w:p>
      <w:pPr>
        <w:spacing w:after="0" w:line="31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INVESTMENTS</w:t>
      </w:r>
    </w:p>
    <w:p>
      <w:pPr>
        <w:spacing w:after="0" w:line="200" w:lineRule="exact"/>
        <w:rPr>
          <w:sz w:val="20"/>
          <w:szCs w:val="20"/>
          <w:color w:val="auto"/>
        </w:rPr>
      </w:pPr>
    </w:p>
    <w:p>
      <w:pPr>
        <w:spacing w:after="0" w:line="320" w:lineRule="exact"/>
        <w:rPr>
          <w:sz w:val="20"/>
          <w:szCs w:val="20"/>
          <w:color w:val="auto"/>
        </w:rPr>
      </w:pPr>
    </w:p>
    <w:p>
      <w:pPr>
        <w:ind w:right="3159" w:firstLine="358"/>
        <w:spacing w:after="0" w:line="242"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The market price of Modex shares was 372 Swiss Francs per share on September 30, 2000, which converts to $215.58 per share and results in an estimated fair value of $27,204,333 for the Company's holdings. The unrealized gain was reported in other comprehensive income. On October 31, 2000 the market price of Modex shares was 329.50 Swiss Francs per share, which converts to $183.28 per share and results in an estimated fair value of $23,128,598 for the Company's holdings.</w:t>
      </w:r>
    </w:p>
    <w:p>
      <w:pPr>
        <w:sectPr>
          <w:pgSz w:w="11900" w:h="16838" w:orient="portrait"/>
          <w:cols w:equalWidth="0" w:num="1">
            <w:col w:w="10219"/>
          </w:cols>
          <w:pgMar w:left="240" w:top="633" w:right="1440" w:bottom="1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UNREALIZED GAIN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SEPTEMBER 30, 2000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2040" w:space="100"/>
            <w:col w:w="2060" w:space="80"/>
            <w:col w:w="5939"/>
          </w:cols>
          <w:pgMar w:left="240" w:top="633" w:right="1440" w:bottom="171" w:gutter="0" w:footer="0" w:header="0"/>
          <w:type w:val="continuous"/>
        </w:sectPr>
      </w:pPr>
    </w:p>
    <w:p>
      <w:pPr>
        <w:ind w:left="700"/>
        <w:spacing w:after="0"/>
        <w:tabs>
          <w:tab w:leader="none" w:pos="9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20" w:lineRule="exact"/>
        <w:rPr>
          <w:sz w:val="20"/>
          <w:szCs w:val="20"/>
          <w:color w:val="auto"/>
        </w:rPr>
      </w:pPr>
      <w:r>
        <w:rPr>
          <w:sz w:val="20"/>
          <w:szCs w:val="20"/>
          <w:color w:val="auto"/>
        </w:rPr>
        <w:br w:type="column"/>
      </w:r>
    </w:p>
    <w:p>
      <w:pPr>
        <w:jc w:val="center"/>
        <w:ind w:right="900"/>
        <w:spacing w:after="0"/>
        <w:rPr>
          <w:sz w:val="20"/>
          <w:szCs w:val="20"/>
          <w:color w:val="auto"/>
        </w:rPr>
      </w:pPr>
      <w:r>
        <w:rPr>
          <w:rFonts w:ascii="Courier New" w:cs="Courier New" w:eastAsia="Courier New" w:hAnsi="Courier New"/>
          <w:sz w:val="14"/>
          <w:szCs w:val="14"/>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$27,204,333</w:t>
      </w:r>
    </w:p>
    <w:p>
      <w:pPr>
        <w:spacing w:after="0" w:line="209" w:lineRule="exact"/>
        <w:rPr>
          <w:sz w:val="20"/>
          <w:szCs w:val="20"/>
          <w:color w:val="auto"/>
        </w:rPr>
      </w:pPr>
    </w:p>
    <w:p>
      <w:pPr>
        <w:sectPr>
          <w:pgSz w:w="11900" w:h="16838" w:orient="portrait"/>
          <w:cols w:equalWidth="0" w:num="3">
            <w:col w:w="1860" w:space="720"/>
            <w:col w:w="1880" w:space="720"/>
            <w:col w:w="5039"/>
          </w:cols>
          <w:pgMar w:left="240" w:top="633" w:right="1440" w:bottom="171" w:gutter="0" w:footer="0" w:header="0"/>
          <w:type w:val="continuous"/>
        </w:sectPr>
      </w:pPr>
    </w:p>
    <w:p>
      <w:pPr>
        <w:spacing w:after="0" w:line="32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19"/>
          </w:cols>
          <w:pgMar w:left="240" w:top="633" w:right="1440" w:bottom="171" w:gutter="0" w:footer="0" w:header="0"/>
          <w:type w:val="continuous"/>
        </w:sectPr>
      </w:pPr>
    </w:p>
    <w:bookmarkStart w:id="87" w:name="page88"/>
    <w:bookmarkEnd w:id="87"/>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200" w:lineRule="exact"/>
        <w:rPr>
          <w:sz w:val="20"/>
          <w:szCs w:val="20"/>
          <w:color w:val="auto"/>
        </w:rPr>
      </w:pPr>
    </w:p>
    <w:p>
      <w:pPr>
        <w:spacing w:after="0" w:line="320"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NOTE 5. BENEFICIAL CONVERSION VALUE OF 6% CUMULATIVE CONVERTIBLE PREFERRED STOCK</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200" w:lineRule="exact"/>
        <w:rPr>
          <w:sz w:val="20"/>
          <w:szCs w:val="20"/>
          <w:color w:val="auto"/>
        </w:rPr>
      </w:pPr>
    </w:p>
    <w:p>
      <w:pPr>
        <w:spacing w:after="0" w:line="32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60"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StemCells received</w:t>
      </w:r>
    </w:p>
    <w:p>
      <w:pPr>
        <w:ind w:right="3079"/>
        <w:spacing w:after="0" w:line="242" w:lineRule="auto"/>
        <w:rPr>
          <w:sz w:val="20"/>
          <w:szCs w:val="20"/>
          <w:color w:val="auto"/>
        </w:rPr>
      </w:pPr>
      <w:r>
        <w:rPr>
          <w:rFonts w:ascii="Courier New" w:cs="Courier New" w:eastAsia="Courier New" w:hAnsi="Courier New"/>
          <w:sz w:val="15"/>
          <w:szCs w:val="15"/>
          <w:color w:val="auto"/>
        </w:rPr>
        <w:t>$3 million of the purchase price at the closing and will receive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200" w:lineRule="exact"/>
        <w:rPr>
          <w:sz w:val="20"/>
          <w:szCs w:val="20"/>
          <w:color w:val="auto"/>
        </w:rPr>
      </w:pPr>
    </w:p>
    <w:p>
      <w:pPr>
        <w:spacing w:after="0" w:line="336" w:lineRule="exact"/>
        <w:rPr>
          <w:sz w:val="20"/>
          <w:szCs w:val="20"/>
          <w:color w:val="auto"/>
        </w:rPr>
      </w:pPr>
    </w:p>
    <w:p>
      <w:pPr>
        <w:jc w:val="both"/>
        <w:ind w:right="3079" w:firstLine="358"/>
        <w:spacing w:after="0" w:line="260"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633" w:right="1440" w:bottom="1440" w:gutter="0" w:footer="0" w:header="0"/>
        </w:sectPr>
      </w:pPr>
    </w:p>
    <w:bookmarkStart w:id="88" w:name="page89"/>
    <w:bookmarkEnd w:id="88"/>
    <w:p>
      <w:pPr>
        <w:ind w:left="180"/>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SEPTEMBER 30, 2000 AND 1999</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 (CONTINUED)</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closing on August 30, 2000, and the Fund will pay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200" w:lineRule="exact"/>
        <w:rPr>
          <w:sz w:val="20"/>
          <w:szCs w:val="20"/>
          <w:color w:val="auto"/>
        </w:rPr>
      </w:pPr>
    </w:p>
    <w:p>
      <w:pPr>
        <w:spacing w:after="0" w:line="324"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200" w:lineRule="exact"/>
        <w:rPr>
          <w:sz w:val="20"/>
          <w:szCs w:val="20"/>
          <w:color w:val="auto"/>
        </w:rPr>
      </w:pPr>
    </w:p>
    <w:p>
      <w:pPr>
        <w:spacing w:after="0" w:line="31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SUBSEQUENT EVENTS</w:t>
      </w:r>
    </w:p>
    <w:p>
      <w:pPr>
        <w:spacing w:after="0" w:line="200" w:lineRule="exact"/>
        <w:rPr>
          <w:sz w:val="20"/>
          <w:szCs w:val="20"/>
          <w:color w:val="auto"/>
        </w:rPr>
      </w:pPr>
    </w:p>
    <w:p>
      <w:pPr>
        <w:spacing w:after="0" w:line="320"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$1,700,000 during the fourth quarter of 2000 as a result of these amendments.</w:t>
      </w:r>
    </w:p>
    <w:p>
      <w:pPr>
        <w:spacing w:after="0" w:line="200" w:lineRule="exact"/>
        <w:rPr>
          <w:sz w:val="20"/>
          <w:szCs w:val="20"/>
          <w:color w:val="auto"/>
        </w:rPr>
      </w:pPr>
    </w:p>
    <w:p>
      <w:pPr>
        <w:spacing w:after="0" w:line="332"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Under a 1997 License Agreement with NeuroSpheres, Ltd., we obtained an exclusive patent license in the field of transplantation.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 common stock and $50,000, and additional cash payments when milestones are achieved in the non-transplant field, or in any products employing NeuroSpheres patents for generating cells of the blood and immune system</w:t>
      </w:r>
    </w:p>
    <w:p>
      <w:pPr>
        <w:spacing w:after="0" w:line="34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33" w:right="1440" w:bottom="1440" w:gutter="0" w:footer="0" w:header="0"/>
        </w:sectPr>
      </w:pPr>
    </w:p>
    <w:bookmarkStart w:id="89" w:name="page90"/>
    <w:bookmarkEnd w:id="89"/>
    <w:p>
      <w:pPr>
        <w:ind w:left="188"/>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200" w:lineRule="exact"/>
        <w:rPr>
          <w:sz w:val="20"/>
          <w:szCs w:val="20"/>
          <w:color w:val="auto"/>
        </w:rPr>
      </w:pPr>
    </w:p>
    <w:p>
      <w:pPr>
        <w:spacing w:after="0" w:line="318"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SEPTEMBER 30, 2000 AND 1999</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SUBSEQUENT EVENTS (CONTINUED)</w:t>
      </w:r>
    </w:p>
    <w:p>
      <w:pPr>
        <w:spacing w:after="0" w:line="348"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from neural stem cells. Milestone payments would total $500,000 for each product that is approved for market.</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RECENT ACCOUNTING PRONOUNCEMENTS</w:t>
      </w:r>
    </w:p>
    <w:p>
      <w:pPr>
        <w:spacing w:after="0" w:line="200" w:lineRule="exact"/>
        <w:rPr>
          <w:sz w:val="20"/>
          <w:szCs w:val="20"/>
          <w:color w:val="auto"/>
        </w:rPr>
      </w:pPr>
    </w:p>
    <w:p>
      <w:pPr>
        <w:spacing w:after="0" w:line="320"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200" w:lineRule="exact"/>
        <w:rPr>
          <w:sz w:val="20"/>
          <w:szCs w:val="20"/>
          <w:color w:val="auto"/>
        </w:rPr>
      </w:pPr>
    </w:p>
    <w:p>
      <w:pPr>
        <w:spacing w:after="0" w:line="322"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200" w:lineRule="exact"/>
        <w:rPr>
          <w:sz w:val="20"/>
          <w:szCs w:val="20"/>
          <w:color w:val="auto"/>
        </w:rPr>
      </w:pPr>
    </w:p>
    <w:p>
      <w:pPr>
        <w:spacing w:after="0" w:line="319" w:lineRule="exact"/>
        <w:rPr>
          <w:sz w:val="20"/>
          <w:szCs w:val="20"/>
          <w:color w:val="auto"/>
        </w:rPr>
      </w:pPr>
    </w:p>
    <w:p>
      <w:pPr>
        <w:ind w:left="8" w:right="3079" w:firstLine="358"/>
        <w:spacing w:after="0" w:line="260" w:lineRule="auto"/>
        <w:rPr>
          <w:sz w:val="20"/>
          <w:szCs w:val="20"/>
          <w:color w:val="auto"/>
        </w:rPr>
      </w:pPr>
      <w:r>
        <w:rPr>
          <w:rFonts w:ascii="Courier New" w:cs="Courier New" w:eastAsia="Courier New" w:hAnsi="Courier New"/>
          <w:sz w:val="14"/>
          <w:szCs w:val="14"/>
          <w:color w:val="auto"/>
        </w:rPr>
        <w:t>In March 2000, the FASB issued interpretation No. 44, ("FIN44"), "Accounting for Certain Transactions Involving Stock Compensation - an Interpretation of APB</w:t>
      </w:r>
    </w:p>
    <w:p>
      <w:pPr>
        <w:ind w:left="8" w:right="3259" w:hanging="8"/>
        <w:spacing w:after="0" w:line="260" w:lineRule="auto"/>
        <w:tabs>
          <w:tab w:leader="none" w:pos="366"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w:t>
      </w:r>
    </w:p>
    <w:p>
      <w:pPr>
        <w:ind w:left="8"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w:t>
      </w:r>
    </w:p>
    <w:p>
      <w:pPr>
        <w:ind w:left="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34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27"/>
          </w:cols>
          <w:pgMar w:left="232" w:top="633" w:right="1440" w:bottom="1440" w:gutter="0" w:footer="0" w:header="0"/>
        </w:sectPr>
      </w:pPr>
    </w:p>
    <w:bookmarkStart w:id="90" w:name="page91"/>
    <w:bookmarkEnd w:id="90"/>
    <w:p>
      <w:pPr>
        <w:ind w:left="2140"/>
        <w:spacing w:after="0"/>
        <w:rPr>
          <w:sz w:val="20"/>
          <w:szCs w:val="20"/>
          <w:color w:val="auto"/>
        </w:rPr>
      </w:pPr>
      <w:r>
        <w:rPr>
          <w:rFonts w:ascii="Courier New" w:cs="Courier New" w:eastAsia="Courier New" w:hAnsi="Courier New"/>
          <w:sz w:val="15"/>
          <w:szCs w:val="15"/>
          <w:color w:val="auto"/>
        </w:rPr>
        <w:t>PRO FORMA FINANCIAL INFORMATION</w:t>
      </w:r>
    </w:p>
    <w:p>
      <w:pPr>
        <w:spacing w:after="0" w:line="176" w:lineRule="exact"/>
        <w:rPr>
          <w:sz w:val="20"/>
          <w:szCs w:val="20"/>
          <w:color w:val="auto"/>
        </w:rPr>
      </w:pPr>
    </w:p>
    <w:p>
      <w:pPr>
        <w:ind w:right="3079" w:firstLine="358"/>
        <w:spacing w:after="0" w:line="261" w:lineRule="auto"/>
        <w:rPr>
          <w:sz w:val="20"/>
          <w:szCs w:val="20"/>
          <w:color w:val="auto"/>
        </w:rPr>
      </w:pPr>
      <w:r>
        <w:rPr>
          <w:rFonts w:ascii="Courier New" w:cs="Courier New" w:eastAsia="Courier New" w:hAnsi="Courier New"/>
          <w:sz w:val="14"/>
          <w:szCs w:val="14"/>
          <w:color w:val="auto"/>
        </w:rPr>
        <w:t>During the third quarter of 1999, management reached a decision to exit the Company's Encapsulated Cell Therapy (ECT) activities, dispose of the related intellectual property, facilities and equipment and relocate the Lincoln, RI corporate headquarters to Sunnyvale, CA. At the same time, the Company accrued various estimated expenses associated with the exit and wind-down of the ECT activities, disposal of the related property and relocation of the corporate headquarters. Additional accruals were provided in December 1999 for expenses relating to settlement of a 1989 funding arrangement with the Rhode Island Partnership for Science and Technology resulting from the Company's move out of Rhode Island, further adjustment to asset carrying values and estimated carrying costs associated with the Rhode Island facilities through the expected disposition date. In addition, during December 1999, the Company liquidated certain ECT equipment and sold its ECT intellectual property to Neurotech, S.A. for $3,000,000. The tabular unaudited pro forma consolidated statement of operations presents the effects of the sale, wind-down and relocation, as if they had occurred at January 1, 1999. The pro forma effects and adjustments were determined based on available information and certain allocations that management believes are reasonable. The pro forma financial information does not purport to represent what the Company's operating results would have been had the sale occurred at January 1, 1999 and may not be indicative of the Company's financial position or operating results for any future date or period.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 FORMA CONSOLIDATED STATEMENT OF OPERATIONS (UNAUDITED)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60"/>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HISTORICAL</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56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12/31/1999</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ADJUSTMENTS(A)</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12/31/1999</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5,021,707</w:t>
            </w:r>
          </w:p>
        </w:tc>
        <w:tc>
          <w:tcPr>
            <w:tcW w:w="174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 (5,021,707)(1)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9,984,027</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(5,332,331)(2)</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4,571,696</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(80,000)(5)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4,927,303</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(2,309,315)(3)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2,697,988</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88"/>
              </w:rPr>
              <w:t>(5)</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Encapsulated Cell Therapy wind down and</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6,047,806</w:t>
            </w:r>
          </w:p>
        </w:tc>
        <w:tc>
          <w:tcPr>
            <w:tcW w:w="260" w:type="dxa"/>
            <w:vAlign w:val="bottom"/>
          </w:tcPr>
          <w:p>
            <w:pPr>
              <w:spacing w:after="0"/>
              <w:rPr>
                <w:sz w:val="14"/>
                <w:szCs w:val="14"/>
                <w:color w:val="auto"/>
              </w:rPr>
            </w:pPr>
          </w:p>
        </w:tc>
        <w:tc>
          <w:tcPr>
            <w:tcW w:w="14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(6,047,806)(4)</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corporate relocation..........................</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20,959,136</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(13,689,452)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7,269,684</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(15,937,429)</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(7,269,684)</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564,006</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564,006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(335,203)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(335,203)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228,803</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228,803</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loss..........................................</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$(15,708,626)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8,667,745</w:t>
            </w:r>
          </w:p>
        </w:tc>
        <w:tc>
          <w:tcPr>
            <w:tcW w:w="40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$(7,040,881)</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c>
          <w:tcPr>
            <w:tcW w:w="40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(0.38)</w:t>
            </w: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18,705,838</w:t>
            </w:r>
          </w:p>
        </w:tc>
        <w:tc>
          <w:tcPr>
            <w:tcW w:w="2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18,705,838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18,705,838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688"/>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F-32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461" w:right="1440" w:bottom="1440" w:gutter="0" w:footer="0" w:header="0"/>
        </w:sectPr>
      </w:pPr>
    </w:p>
    <w:bookmarkStart w:id="91" w:name="page92"/>
    <w:bookmarkEnd w:id="91"/>
    <w:p>
      <w:pPr>
        <w:ind w:left="8"/>
        <w:spacing w:after="0"/>
        <w:rPr>
          <w:sz w:val="20"/>
          <w:szCs w:val="20"/>
          <w:color w:val="auto"/>
        </w:rPr>
      </w:pPr>
      <w:r>
        <w:rPr>
          <w:rFonts w:ascii="Courier New" w:cs="Courier New" w:eastAsia="Courier New" w:hAnsi="Courier New"/>
          <w:sz w:val="15"/>
          <w:szCs w:val="15"/>
          <w:color w:val="auto"/>
        </w:rPr>
        <w:t>NOTES TO PRO FORMA CONSOLIDATED STATEMENT OF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A--PRO FORMA ADJUSTMENTS</w:t>
      </w:r>
    </w:p>
    <w:p>
      <w:pPr>
        <w:spacing w:after="0" w:line="174" w:lineRule="exact"/>
        <w:rPr>
          <w:sz w:val="20"/>
          <w:szCs w:val="20"/>
          <w:color w:val="auto"/>
        </w:rPr>
      </w:pPr>
    </w:p>
    <w:p>
      <w:pPr>
        <w:ind w:left="348" w:hanging="348"/>
        <w:spacing w:after="0"/>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Encapsulated Cell Therapy collaborative revenue arrangements.</w:t>
      </w:r>
    </w:p>
    <w:p>
      <w:pPr>
        <w:spacing w:after="0" w:line="175"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research and development expenses, including employee compensation ($1,566,479), external professional services ($875,818) facilities and other supplies ($2,890,035) and various other expenses directly relating to encapsulated cell therapy activities. These expenses were determined based on an individual account analysis and internal employee tracking records.</w:t>
      </w:r>
    </w:p>
    <w:p>
      <w:pPr>
        <w:spacing w:after="0" w:line="176"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general and administrative expenses, including employee compensation ($761,000), legal, professional and consulting fees ($963,000), facilities costs ($306,000), amortization ($158,000) and various other expenses ($121,000), directly relating to encapsulated cell therapy. The expenses were determined based on an individual account analysis.</w:t>
      </w:r>
    </w:p>
    <w:p>
      <w:pPr>
        <w:spacing w:after="0" w:line="163" w:lineRule="exact"/>
        <w:rPr>
          <w:rFonts w:ascii="Courier New" w:cs="Courier New" w:eastAsia="Courier New" w:hAnsi="Courier New"/>
          <w:sz w:val="14"/>
          <w:szCs w:val="14"/>
          <w:color w:val="auto"/>
        </w:rPr>
      </w:pPr>
    </w:p>
    <w:p>
      <w:pPr>
        <w:ind w:left="348" w:right="3079" w:hanging="348"/>
        <w:spacing w:after="0" w:line="260" w:lineRule="auto"/>
        <w:tabs>
          <w:tab w:leader="none" w:pos="348"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eliminate Encapsulated Cell Therapy wind-down and corporate relocation expenses, including Rhode Island facility carrying costs, employee severance arrangements and the related settlement of a 1989 funding arrangement with the Rhode Island Partnership for Science and Technology. These expenses related to the Company's decision to eliminate 68 employees, relocate all remaining research and development and the Company's headquarters to Sunnyvale, California as a result of a decision to exit Encapsulated Cell Technology, and were included in wind-down expenses. The wind-down expenses include employee severance costs of approximately $1,554,000, losses and reserves for the write-down of related patents and fixed assets of approximately $1,858,000, an accrual of approximately $1,172,000 of costs relating to settlement of a 1989 funding agreement with the Rhode Island Partnership for Science and Technology ("RIPSAT") associated with the Company's pilot manufacturing facility, approximately $1,264,000 relating to carrying costs, including lease payments, interest, utilities, taxes and other related expenses associated with resolving the disposition of the Rhode Island facilities and $200,000 of employee outplacement fees. The RIPSAT claim related directly to funding the Company had received from RIPSAT. When the Company reached the decision to exit its Encapsulated Cell Technology and relocate all remaining research and the Company's corporate headquarter's from Rhode Island to Sunnyvale, California. RIPSAT claimed the Company had violated terms of the funding arrangement. The Company did not agree with this claim, however, management determined it was in the Company's best interest to settle the issue. As a result, the costs associated with the settlement were included in the wind-down amount.</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348" w:right="3159" w:hanging="348"/>
        <w:spacing w:after="0" w:line="241" w:lineRule="auto"/>
        <w:tabs>
          <w:tab w:leader="none" w:pos="3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allocate facilities cost to general and administrative expense from conversion of the former research and development facility in Sunnyvale, CA to the Company's Corporate headquarters.</w:t>
      </w:r>
    </w:p>
    <w:p>
      <w:pPr>
        <w:spacing w:after="0" w:line="34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27"/>
          </w:cols>
          <w:pgMar w:left="232" w:top="461" w:right="1440" w:bottom="1440" w:gutter="0" w:footer="0" w:header="0"/>
        </w:sectPr>
      </w:pPr>
    </w:p>
    <w:bookmarkStart w:id="92" w:name="page93"/>
    <w:bookmarkEnd w:id="92"/>
    <w:p>
      <w:pPr>
        <w:jc w:val="center"/>
        <w:ind w:right="3151"/>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left="8" w:right="3259" w:firstLine="358"/>
        <w:spacing w:after="0" w:line="242"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 and the NASDAQ listing fee.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$ 6,956.16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NASDAQ listing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Printing and engraving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agent and registrar fees...........................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provided by amendment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7"/>
          </w:cols>
          <w:pgMar w:left="232" w:top="461" w:right="1440" w:bottom="1440" w:gutter="0" w:footer="0" w:header="0"/>
        </w:sectPr>
      </w:pPr>
    </w:p>
    <w:bookmarkStart w:id="93" w:name="page94"/>
    <w:bookmarkEnd w:id="93"/>
    <w:p>
      <w:pPr>
        <w:ind w:left="8" w:right="3159"/>
        <w:spacing w:after="0" w:line="241" w:lineRule="auto"/>
        <w:rPr>
          <w:sz w:val="20"/>
          <w:szCs w:val="20"/>
          <w:color w:val="auto"/>
        </w:rPr>
      </w:pPr>
      <w:r>
        <w:rPr>
          <w:rFonts w:ascii="Courier New" w:cs="Courier New" w:eastAsia="Courier New" w:hAnsi="Courier New"/>
          <w:sz w:val="15"/>
          <w:szCs w:val="15"/>
          <w:color w:val="auto"/>
        </w:rPr>
        <w:t>which those seeking indemnification may be entitled under any by-law, agreement or vote of directors or stockholders or otherwise, and shall inure to the benefit of the heirs and legal representatives of such persons.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5" w:lineRule="exact"/>
        <w:rPr>
          <w:sz w:val="20"/>
          <w:szCs w:val="20"/>
          <w:color w:val="auto"/>
        </w:rPr>
      </w:pPr>
    </w:p>
    <w:p>
      <w:pPr>
        <w:ind w:left="8" w:right="3599" w:firstLine="358"/>
        <w:spacing w:after="0"/>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left="8" w:right="3339" w:firstLine="358"/>
        <w:spacing w:after="0" w:line="260"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w:t>
      </w:r>
    </w:p>
    <w:p>
      <w:pPr>
        <w:ind w:left="8" w:right="3259" w:hanging="8"/>
        <w:spacing w:after="0" w:line="242" w:lineRule="auto"/>
        <w:tabs>
          <w:tab w:leader="none" w:pos="36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transactions described in (a) below, 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348" w:lineRule="exact"/>
        <w:rPr>
          <w:rFonts w:ascii="Courier New" w:cs="Courier New" w:eastAsia="Courier New" w:hAnsi="Courier New"/>
          <w:sz w:val="15"/>
          <w:szCs w:val="15"/>
          <w:color w:val="auto"/>
        </w:rPr>
      </w:pPr>
    </w:p>
    <w:p>
      <w:pPr>
        <w:ind w:left="8" w:right="3079" w:firstLine="350"/>
        <w:spacing w:after="0" w:line="242" w:lineRule="auto"/>
        <w:tabs>
          <w:tab w:leader="none" w:pos="724"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The investors would be entitled to make additional investments in the Company on the same terms as those on which the Registrant completes offerings of its securities with third parties within 6 months, if any such offerings are completed. They have waived that right with respect to the common stock transactions described in Note 7, Subsequent Events. If offerings totaling at least $6 million are not completed during the 6 months, the investors have the right to acquire up to a total of 1,126 additional shares of convertible preferred stock, the face value of which is convertible to common stock at $6.33 per share. Any unconverted preferred stock is converted, at the applicable conversion price, on April 13, 2002 in the case of the original stock and two years after the first acquisition of any of the additional 1,126 shares, if any are acquired. The warrants, which are exercisable at $6.58 per share, expire on April 13, 2005.</w:t>
      </w:r>
    </w:p>
    <w:p>
      <w:pPr>
        <w:spacing w:after="0" w:line="3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463" w:right="1440" w:bottom="1440" w:gutter="0" w:footer="0" w:header="0"/>
        </w:sectPr>
      </w:pPr>
    </w:p>
    <w:bookmarkStart w:id="94" w:name="page95"/>
    <w:bookmarkEnd w:id="94"/>
    <w:p>
      <w:pPr>
        <w:ind w:right="3079" w:firstLine="358"/>
        <w:spacing w:after="0" w:line="261" w:lineRule="auto"/>
        <w:rPr>
          <w:sz w:val="20"/>
          <w:szCs w:val="20"/>
          <w:color w:val="auto"/>
        </w:rPr>
      </w:pPr>
      <w:r>
        <w:rPr>
          <w:rFonts w:ascii="Courier New" w:cs="Courier New" w:eastAsia="Courier New" w:hAnsi="Courier New"/>
          <w:sz w:val="14"/>
          <w:szCs w:val="14"/>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will receive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The Fund also received a warrant to purchase up to 101,587 shares of common stock at $4.725 per share. This warrant is callable by the Registrant at $7.875 per underlying share.</w:t>
      </w:r>
    </w:p>
    <w:p>
      <w:pPr>
        <w:spacing w:after="0" w:line="336" w:lineRule="exact"/>
        <w:rPr>
          <w:sz w:val="20"/>
          <w:szCs w:val="20"/>
          <w:color w:val="auto"/>
        </w:rPr>
      </w:pPr>
    </w:p>
    <w:p>
      <w:pPr>
        <w:ind w:right="3079" w:firstLine="358"/>
        <w:spacing w:after="0" w:line="242" w:lineRule="auto"/>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will receive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180" w:lineRule="exact"/>
        <w:rPr>
          <w:sz w:val="20"/>
          <w:szCs w:val="20"/>
          <w:color w:val="auto"/>
        </w:rPr>
      </w:pPr>
    </w:p>
    <w:p>
      <w:pPr>
        <w:ind w:right="3159" w:firstLine="350"/>
        <w:spacing w:after="0"/>
        <w:tabs>
          <w:tab w:leader="none" w:pos="80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6" w:lineRule="exact"/>
        <w:rPr>
          <w:sz w:val="20"/>
          <w:szCs w:val="20"/>
          <w:color w:val="auto"/>
        </w:rPr>
      </w:pPr>
    </w:p>
    <w:p>
      <w:pPr>
        <w:ind w:left="620" w:right="3159" w:hanging="270"/>
        <w:spacing w:after="0"/>
        <w:tabs>
          <w:tab w:leader="none" w:pos="71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2"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77" w:right="1440" w:bottom="1440" w:gutter="0" w:footer="0" w:header="0"/>
        </w:sectPr>
      </w:pPr>
    </w:p>
    <w:bookmarkStart w:id="96" w:name="page97"/>
    <w:bookmarkEnd w:id="96"/>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977" w:right="1440" w:bottom="1440" w:gutter="0" w:footer="0" w:header="0"/>
        </w:sectPr>
      </w:pPr>
    </w:p>
    <w:p>
      <w:pPr>
        <w:ind w:left="448"/>
        <w:spacing w:after="0"/>
        <w:rPr>
          <w:sz w:val="20"/>
          <w:szCs w:val="20"/>
          <w:color w:val="auto"/>
        </w:rPr>
      </w:pPr>
      <w:r>
        <w:rPr>
          <w:rFonts w:ascii="Courier New" w:cs="Courier New" w:eastAsia="Courier New" w:hAnsi="Courier New"/>
          <w:sz w:val="15"/>
          <w:szCs w:val="15"/>
          <w:color w:val="auto"/>
        </w:rPr>
        <w:t>10.29###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Letter Agreement among each of Dr. Irving Weissman and Dr.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 H. Gage and the Registrant.</w:t>
      </w:r>
    </w:p>
    <w:p>
      <w:pPr>
        <w:spacing w:after="0" w:line="176"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StemCells, Inc. 1996 Stock Option Plan.</w:t>
      </w:r>
    </w:p>
    <w:p>
      <w:pPr>
        <w:spacing w:after="0" w:line="185"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1997 StemCells Research Stock Option Plan (the "1997 Plan")</w:t>
      </w:r>
    </w:p>
    <w:p>
      <w:pPr>
        <w:spacing w:after="0" w:line="185"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10.34****</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Form of Performance-Based Incentive Option Agreement issued under the 1997 Plan.</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10.35###</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Employment Agreement dated as of September 25, 1997 between Dr. Richard M. Rose and the Registrant.</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10.38[*]</w:t>
      </w:r>
    </w:p>
    <w:p>
      <w:pPr>
        <w:spacing w:after="0" w:line="20" w:lineRule="exact"/>
        <w:rPr>
          <w:sz w:val="20"/>
          <w:szCs w:val="20"/>
          <w:color w:val="auto"/>
        </w:rPr>
      </w:pPr>
      <w:r>
        <w:rPr>
          <w:sz w:val="20"/>
          <w:szCs w:val="20"/>
          <w:color w:val="auto"/>
        </w:rPr>
        <w:br w:type="column"/>
      </w:r>
    </w:p>
    <w:p>
      <w:pPr>
        <w:ind w:right="3079"/>
        <w:spacing w:after="0"/>
        <w:rPr>
          <w:sz w:val="20"/>
          <w:szCs w:val="20"/>
          <w:color w:val="auto"/>
        </w:rPr>
      </w:pPr>
      <w:r>
        <w:rPr>
          <w:rFonts w:ascii="Courier New" w:cs="Courier New" w:eastAsia="Courier New" w:hAnsi="Courier New"/>
          <w:sz w:val="15"/>
          <w:szCs w:val="15"/>
          <w:color w:val="auto"/>
        </w:rPr>
        <w:t>Rights Agreement, dated as of July 27, 1998 between Bank Boston, N.A. as Rights Agent and the Registrant.</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10.40Section**</w:t>
      </w:r>
    </w:p>
    <w:p>
      <w:pPr>
        <w:spacing w:after="0" w:line="20" w:lineRule="exact"/>
        <w:rPr>
          <w:sz w:val="20"/>
          <w:szCs w:val="20"/>
          <w:color w:val="auto"/>
        </w:rPr>
      </w:pPr>
      <w:r>
        <w:rPr>
          <w:sz w:val="20"/>
          <w:szCs w:val="20"/>
          <w:color w:val="auto"/>
        </w:rPr>
        <w:br w:type="column"/>
      </w:r>
    </w:p>
    <w:p>
      <w:pPr>
        <w:jc w:val="both"/>
        <w:ind w:right="2799"/>
        <w:spacing w:after="0" w:line="241" w:lineRule="auto"/>
        <w:rPr>
          <w:sz w:val="20"/>
          <w:szCs w:val="20"/>
          <w:color w:val="auto"/>
        </w:rPr>
      </w:pPr>
      <w:r>
        <w:rPr>
          <w:rFonts w:ascii="Courier New" w:cs="Courier New" w:eastAsia="Courier New" w:hAnsi="Courier New"/>
          <w:sz w:val="15"/>
          <w:szCs w:val="15"/>
          <w:color w:val="auto"/>
        </w:rPr>
        <w:t>Consulting Services Agreement dated as of July 27, 1998, as amended December 19, 1998 between Dr.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977"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10.41Section**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Letter Agreement dated as of December 19, 1998 between John J. Schwartz and the Registrant.</w:t>
      </w:r>
    </w:p>
    <w:p>
      <w:pPr>
        <w:spacing w:after="0" w:line="174" w:lineRule="exact"/>
        <w:rPr>
          <w:sz w:val="20"/>
          <w:szCs w:val="20"/>
          <w:color w:val="auto"/>
        </w:rPr>
      </w:pPr>
    </w:p>
    <w:p>
      <w:pPr>
        <w:sectPr>
          <w:pgSz w:w="11900" w:h="16838" w:orient="portrait"/>
          <w:cols w:equalWidth="0" w:num="2">
            <w:col w:w="1708" w:space="440"/>
            <w:col w:w="8079"/>
          </w:cols>
          <w:pgMar w:left="232" w:top="977"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10.42Section**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977"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10.43Section**</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License Agreement dated as of October 27, 1998 between The Scripps Research Institute and the Registrant.</w:t>
      </w:r>
    </w:p>
    <w:p>
      <w:pPr>
        <w:spacing w:after="0" w:line="174" w:lineRule="exact"/>
        <w:rPr>
          <w:sz w:val="20"/>
          <w:szCs w:val="20"/>
          <w:color w:val="auto"/>
        </w:rPr>
      </w:pPr>
    </w:p>
    <w:p>
      <w:pPr>
        <w:sectPr>
          <w:pgSz w:w="11900" w:h="16838" w:orient="portrait"/>
          <w:cols w:equalWidth="0" w:num="2">
            <w:col w:w="1708" w:space="440"/>
            <w:col w:w="8079"/>
          </w:cols>
          <w:pgMar w:left="232" w:top="977"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5"/>
          <w:szCs w:val="15"/>
          <w:color w:val="auto"/>
        </w:rPr>
        <w:t>10.44Section**</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November 20, 1998 between The Scripps Research Institute and the Registrant.</w:t>
      </w:r>
    </w:p>
    <w:p>
      <w:pPr>
        <w:spacing w:after="0" w:line="176" w:lineRule="exact"/>
        <w:rPr>
          <w:sz w:val="20"/>
          <w:szCs w:val="20"/>
          <w:color w:val="auto"/>
        </w:rPr>
      </w:pPr>
    </w:p>
    <w:p>
      <w:pPr>
        <w:sectPr>
          <w:pgSz w:w="11900" w:h="16838" w:orient="portrait"/>
          <w:cols w:equalWidth="0" w:num="2">
            <w:col w:w="1708" w:space="440"/>
            <w:col w:w="8079"/>
          </w:cols>
          <w:pgMar w:left="232" w:top="977"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10.45SectionSection**</w:t>
      </w:r>
    </w:p>
    <w:p>
      <w:pPr>
        <w:spacing w:after="0" w:line="20" w:lineRule="exact"/>
        <w:rPr>
          <w:sz w:val="20"/>
          <w:szCs w:val="20"/>
          <w:color w:val="auto"/>
        </w:rPr>
      </w:pPr>
      <w:r>
        <w:rPr>
          <w:sz w:val="20"/>
          <w:szCs w:val="20"/>
          <w:color w:val="auto"/>
        </w:rPr>
        <w:br w:type="column"/>
      </w:r>
    </w:p>
    <w:p>
      <w:pPr>
        <w:ind w:right="2719"/>
        <w:spacing w:after="0" w:line="274" w:lineRule="auto"/>
        <w:rPr>
          <w:sz w:val="20"/>
          <w:szCs w:val="20"/>
          <w:color w:val="auto"/>
        </w:rPr>
      </w:pPr>
      <w:r>
        <w:rPr>
          <w:rFonts w:ascii="Courier New" w:cs="Courier New" w:eastAsia="Courier New" w:hAnsi="Courier New"/>
          <w:sz w:val="14"/>
          <w:szCs w:val="14"/>
          <w:color w:val="auto"/>
        </w:rPr>
        <w:t>Purchase Agreement and License Agreement dated as of December 29, 1999 between Neurotech S.A. and the Registrant.</w:t>
      </w:r>
    </w:p>
    <w:p>
      <w:pPr>
        <w:spacing w:after="0" w:line="154" w:lineRule="exact"/>
        <w:rPr>
          <w:sz w:val="20"/>
          <w:szCs w:val="20"/>
          <w:color w:val="auto"/>
        </w:rPr>
      </w:pPr>
    </w:p>
    <w:p>
      <w:pPr>
        <w:sectPr>
          <w:pgSz w:w="11900" w:h="16838" w:orient="portrait"/>
          <w:cols w:equalWidth="0" w:num="2">
            <w:col w:w="1888" w:space="26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10.46**</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6"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10.47**</w:t>
      </w:r>
    </w:p>
    <w:p>
      <w:pPr>
        <w:spacing w:after="0" w:line="20" w:lineRule="exact"/>
        <w:rPr>
          <w:sz w:val="20"/>
          <w:szCs w:val="20"/>
          <w:color w:val="auto"/>
        </w:rPr>
      </w:pPr>
      <w:r>
        <w:rPr>
          <w:sz w:val="20"/>
          <w:szCs w:val="20"/>
          <w:color w:val="auto"/>
        </w:rPr>
        <w:br w:type="column"/>
      </w:r>
    </w:p>
    <w:p>
      <w:pPr>
        <w:ind w:right="2799"/>
        <w:spacing w:after="0"/>
        <w:rPr>
          <w:sz w:val="20"/>
          <w:szCs w:val="20"/>
          <w:color w:val="auto"/>
        </w:rPr>
      </w:pPr>
      <w:r>
        <w:rPr>
          <w:rFonts w:ascii="Courier New" w:cs="Courier New" w:eastAsia="Courier New" w:hAnsi="Courier New"/>
          <w:sz w:val="15"/>
          <w:szCs w:val="15"/>
          <w:color w:val="auto"/>
        </w:rPr>
        <w:t>License Agreement dated as of June 1999 between The Scripps Research Institute and the Registrant.</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10.48X</w:t>
      </w:r>
    </w:p>
    <w:p>
      <w:pPr>
        <w:spacing w:after="0" w:line="20" w:lineRule="exact"/>
        <w:rPr>
          <w:sz w:val="20"/>
          <w:szCs w:val="20"/>
          <w:color w:val="auto"/>
        </w:rPr>
      </w:pPr>
      <w:r>
        <w:rPr>
          <w:sz w:val="20"/>
          <w:szCs w:val="20"/>
          <w:color w:val="auto"/>
        </w:rPr>
        <w:br w:type="column"/>
      </w:r>
    </w:p>
    <w:p>
      <w:pPr>
        <w:ind w:right="2899"/>
        <w:spacing w:after="0"/>
        <w:rPr>
          <w:sz w:val="20"/>
          <w:szCs w:val="20"/>
          <w:color w:val="auto"/>
        </w:rPr>
      </w:pPr>
      <w:r>
        <w:rPr>
          <w:rFonts w:ascii="Courier New" w:cs="Courier New" w:eastAsia="Courier New" w:hAnsi="Courier New"/>
          <w:sz w:val="15"/>
          <w:szCs w:val="15"/>
          <w:color w:val="auto"/>
        </w:rPr>
        <w:t>Form of Registration Rights Agreement dated as of July 31, 2000 between StemCells, Inc. and investors.</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10.49X</w:t>
      </w:r>
    </w:p>
    <w:p>
      <w:pPr>
        <w:spacing w:after="0" w:line="20" w:lineRule="exact"/>
        <w:rPr>
          <w:sz w:val="20"/>
          <w:szCs w:val="20"/>
          <w:color w:val="auto"/>
        </w:rPr>
      </w:pPr>
      <w:r>
        <w:rPr>
          <w:sz w:val="20"/>
          <w:szCs w:val="20"/>
          <w:color w:val="auto"/>
        </w:rPr>
        <w:br w:type="column"/>
      </w:r>
    </w:p>
    <w:p>
      <w:pPr>
        <w:ind w:right="3079"/>
        <w:spacing w:after="0"/>
        <w:rPr>
          <w:sz w:val="20"/>
          <w:szCs w:val="20"/>
          <w:color w:val="auto"/>
        </w:rPr>
      </w:pPr>
      <w:r>
        <w:rPr>
          <w:rFonts w:ascii="Courier New" w:cs="Courier New" w:eastAsia="Courier New" w:hAnsi="Courier New"/>
          <w:sz w:val="15"/>
          <w:szCs w:val="15"/>
          <w:color w:val="auto"/>
        </w:rPr>
        <w:t>Subscription Agreement dated as of July 31, 2000 between StemCells, Inc. and Millennium Partners, L.P.</w:t>
      </w:r>
    </w:p>
    <w:p>
      <w:pPr>
        <w:spacing w:after="0" w:line="174"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348"/>
        <w:spacing w:after="0"/>
        <w:rPr>
          <w:sz w:val="20"/>
          <w:szCs w:val="20"/>
          <w:color w:val="auto"/>
        </w:rPr>
      </w:pPr>
      <w:r>
        <w:rPr>
          <w:rFonts w:ascii="Courier New" w:cs="Courier New" w:eastAsia="Courier New" w:hAnsi="Courier New"/>
          <w:sz w:val="15"/>
          <w:szCs w:val="15"/>
          <w:color w:val="auto"/>
        </w:rPr>
        <w:t>21X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the Registrant.</w:t>
      </w:r>
    </w:p>
    <w:p>
      <w:pPr>
        <w:spacing w:after="0" w:line="183"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977" w:right="1440" w:bottom="1440"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977" w:right="1440" w:bottom="1440" w:gutter="0" w:footer="0" w:header="0"/>
          <w:type w:val="continuous"/>
        </w:sectPr>
      </w:pPr>
    </w:p>
    <w:bookmarkStart w:id="97" w:name="page98"/>
    <w:bookmarkEnd w:id="97"/>
    <w:p>
      <w:pPr>
        <w:ind w:left="528" w:right="3339" w:hanging="528"/>
        <w:spacing w:after="0" w:line="241" w:lineRule="auto"/>
        <w:tabs>
          <w:tab w:leader="none" w:pos="52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6" w:lineRule="exact"/>
        <w:rPr>
          <w:sz w:val="20"/>
          <w:szCs w:val="20"/>
          <w:color w:val="auto"/>
        </w:rPr>
      </w:pPr>
    </w:p>
    <w:p>
      <w:pPr>
        <w:jc w:val="both"/>
        <w:ind w:left="528" w:right="3339" w:hanging="528"/>
        <w:spacing w:after="0" w:line="241" w:lineRule="auto"/>
        <w:tabs>
          <w:tab w:leader="none" w:pos="52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463" w:right="1440" w:bottom="1440" w:gutter="0" w:footer="0" w:header="0"/>
        </w:sectPr>
      </w:pPr>
    </w:p>
    <w:bookmarkStart w:id="98" w:name="page99"/>
    <w:bookmarkEnd w:id="98"/>
    <w:p>
      <w:pPr>
        <w:ind w:right="3159"/>
        <w:spacing w:after="0" w:line="261" w:lineRule="auto"/>
        <w:rPr>
          <w:sz w:val="20"/>
          <w:szCs w:val="20"/>
          <w:color w:val="auto"/>
        </w:rPr>
      </w:pPr>
      <w:r>
        <w:rPr>
          <w:rFonts w:ascii="Courier New" w:cs="Courier New" w:eastAsia="Courier New" w:hAnsi="Courier New"/>
          <w:sz w:val="14"/>
          <w:szCs w:val="14"/>
          <w:color w:val="auto"/>
        </w:rPr>
        <w:t>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620" w:right="3339" w:hanging="270"/>
        <w:spacing w:after="0"/>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060" w:right="3699" w:hanging="353"/>
        <w:spacing w:after="0"/>
        <w:tabs>
          <w:tab w:leader="none" w:pos="1060" w:val="left"/>
        </w:tabs>
        <w:numPr>
          <w:ilvl w:val="2"/>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6" w:lineRule="exact"/>
        <w:rPr>
          <w:rFonts w:ascii="Courier New" w:cs="Courier New" w:eastAsia="Courier New" w:hAnsi="Courier New"/>
          <w:sz w:val="15"/>
          <w:szCs w:val="15"/>
          <w:color w:val="auto"/>
        </w:rPr>
      </w:pPr>
    </w:p>
    <w:p>
      <w:pPr>
        <w:ind w:left="1160" w:right="3079" w:hanging="453"/>
        <w:spacing w:after="0" w:line="242" w:lineRule="auto"/>
        <w:tabs>
          <w:tab w:leader="none" w:pos="1160" w:val="left"/>
        </w:tabs>
        <w:numPr>
          <w:ilvl w:val="2"/>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60" w:right="3079" w:hanging="542"/>
        <w:spacing w:after="0" w:line="242" w:lineRule="auto"/>
        <w:tabs>
          <w:tab w:leader="none" w:pos="1160"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4" w:lineRule="exact"/>
        <w:rPr>
          <w:rFonts w:ascii="Courier New" w:cs="Courier New" w:eastAsia="Courier New" w:hAnsi="Courier New"/>
          <w:sz w:val="15"/>
          <w:szCs w:val="15"/>
          <w:color w:val="auto"/>
        </w:rPr>
      </w:pPr>
    </w:p>
    <w:p>
      <w:pPr>
        <w:ind w:left="620" w:right="3079" w:hanging="270"/>
        <w:spacing w:after="0" w:line="242"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620" w:right="3079" w:hanging="270"/>
        <w:spacing w:after="0" w:line="241"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rFonts w:ascii="Courier New" w:cs="Courier New" w:eastAsia="Courier New" w:hAnsi="Courier New"/>
          <w:sz w:val="15"/>
          <w:szCs w:val="15"/>
          <w:color w:val="auto"/>
        </w:rPr>
      </w:pPr>
    </w:p>
    <w:p>
      <w:pPr>
        <w:jc w:val="both"/>
        <w:ind w:left="620" w:right="3519" w:hanging="270"/>
        <w:spacing w:after="0" w:line="241" w:lineRule="auto"/>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463" w:right="1440" w:bottom="1440" w:gutter="0" w:footer="0" w:header="0"/>
        </w:sectPr>
      </w:pPr>
    </w:p>
    <w:bookmarkStart w:id="99" w:name="page100"/>
    <w:bookmarkEnd w:id="99"/>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Sunnyvale, State of California, on the day of November, 2000.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STEMCELLS, INC.</w:t>
      </w:r>
    </w:p>
    <w:p>
      <w:pPr>
        <w:sectPr>
          <w:pgSz w:w="11900" w:h="16838" w:orient="portrait"/>
          <w:cols w:equalWidth="0" w:num="1">
            <w:col w:w="10219"/>
          </w:cols>
          <w:pgMar w:left="240" w:top="461" w:right="1440" w:bottom="1440" w:gutter="0" w:footer="0" w:header="0"/>
        </w:sectPr>
      </w:pPr>
    </w:p>
    <w:p>
      <w:pPr>
        <w:spacing w:after="0" w:line="176"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IRIS BREST*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W. Dunbar,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Chief Executive Officer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Acting Chief Financial Officer</w:t>
      </w:r>
    </w:p>
    <w:p>
      <w:pPr>
        <w:spacing w:after="0" w:line="200" w:lineRule="exact"/>
        <w:rPr>
          <w:sz w:val="20"/>
          <w:szCs w:val="20"/>
          <w:color w:val="auto"/>
        </w:rPr>
      </w:pPr>
    </w:p>
    <w:p>
      <w:pPr>
        <w:sectPr>
          <w:pgSz w:w="11900" w:h="16838" w:orient="portrait"/>
          <w:cols w:equalWidth="0" w:num="2">
            <w:col w:w="5180" w:space="180"/>
            <w:col w:w="4859"/>
          </w:cols>
          <w:pgMar w:left="240" w:top="461" w:right="1440" w:bottom="1440" w:gutter="0" w:footer="0" w:header="0"/>
          <w:type w:val="continuous"/>
        </w:sectPr>
      </w:pP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Pursuant to the requirements of the Securities Act of 1933,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has been signed by the following persons in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capacities indicated on November</w:t>
            </w:r>
          </w:p>
        </w:tc>
        <w:tc>
          <w:tcPr>
            <w:tcW w:w="5680" w:type="dxa"/>
            <w:vAlign w:val="bottom"/>
          </w:tcPr>
          <w:p>
            <w:pPr>
              <w:ind w:left="40"/>
              <w:spacing w:after="0"/>
              <w:rPr>
                <w:sz w:val="20"/>
                <w:szCs w:val="20"/>
                <w:color w:val="auto"/>
              </w:rPr>
            </w:pPr>
            <w:r>
              <w:rPr>
                <w:rFonts w:ascii="Courier New" w:cs="Courier New" w:eastAsia="Courier New" w:hAnsi="Courier New"/>
                <w:sz w:val="15"/>
                <w:szCs w:val="15"/>
                <w:color w:val="auto"/>
              </w:rPr>
              <w:t>, 2000.</w:t>
            </w:r>
          </w:p>
        </w:tc>
      </w:tr>
      <w:tr>
        <w:trPr>
          <w:trHeight w:val="860"/>
        </w:trPr>
        <w:tc>
          <w:tcPr>
            <w:tcW w:w="308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8"/>
              </w:rPr>
              <w:t>SIGNATURE</w:t>
            </w:r>
          </w:p>
        </w:tc>
        <w:tc>
          <w:tcPr>
            <w:tcW w:w="5680" w:type="dxa"/>
            <w:vAlign w:val="bottom"/>
          </w:tcPr>
          <w:p>
            <w:pPr>
              <w:ind w:left="362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3080" w:type="dxa"/>
            <w:vAlign w:val="bottom"/>
          </w:tcPr>
          <w:p>
            <w:pPr>
              <w:jc w:val="center"/>
              <w:ind w:left="1565"/>
              <w:spacing w:after="0"/>
              <w:rPr>
                <w:sz w:val="20"/>
                <w:szCs w:val="20"/>
                <w:color w:val="auto"/>
              </w:rPr>
            </w:pPr>
            <w:r>
              <w:rPr>
                <w:rFonts w:ascii="Courier New" w:cs="Courier New" w:eastAsia="Courier New" w:hAnsi="Courier New"/>
                <w:sz w:val="15"/>
                <w:szCs w:val="15"/>
                <w:color w:val="auto"/>
                <w:w w:val="98"/>
              </w:rPr>
              <w:t>---------</w:t>
            </w:r>
          </w:p>
        </w:tc>
        <w:tc>
          <w:tcPr>
            <w:tcW w:w="5680" w:type="dxa"/>
            <w:vAlign w:val="bottom"/>
          </w:tcPr>
          <w:p>
            <w:pPr>
              <w:ind w:left="3620"/>
              <w:spacing w:after="0"/>
              <w:rPr>
                <w:sz w:val="20"/>
                <w:szCs w:val="20"/>
                <w:color w:val="auto"/>
              </w:rPr>
            </w:pPr>
            <w:r>
              <w:rPr>
                <w:rFonts w:ascii="Courier New" w:cs="Courier New" w:eastAsia="Courier New" w:hAnsi="Courier New"/>
                <w:sz w:val="15"/>
                <w:szCs w:val="15"/>
                <w:color w:val="auto"/>
              </w:rPr>
              <w:t>-----</w:t>
            </w:r>
          </w:p>
        </w:tc>
      </w:tr>
      <w:tr>
        <w:trPr>
          <w:trHeight w:val="344"/>
        </w:trPr>
        <w:tc>
          <w:tcPr>
            <w:tcW w:w="30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George W. Dunbar, Jr.,</w:t>
            </w:r>
          </w:p>
        </w:tc>
      </w:tr>
      <w:tr>
        <w:trPr>
          <w:trHeight w:val="172"/>
        </w:trPr>
        <w:tc>
          <w:tcPr>
            <w:tcW w:w="3080" w:type="dxa"/>
            <w:vAlign w:val="bottom"/>
          </w:tcPr>
          <w:p>
            <w:pPr>
              <w:spacing w:after="0"/>
              <w:rPr>
                <w:sz w:val="14"/>
                <w:szCs w:val="14"/>
                <w:color w:val="auto"/>
              </w:rPr>
            </w:pP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w w:val="98"/>
              </w:rPr>
              <w:t>Acting President, Chief Executive Officer</w:t>
            </w:r>
          </w:p>
        </w:tc>
      </w:tr>
      <w:tr>
        <w:trPr>
          <w:trHeight w:val="172"/>
        </w:trPr>
        <w:tc>
          <w:tcPr>
            <w:tcW w:w="3080" w:type="dxa"/>
            <w:vAlign w:val="bottom"/>
          </w:tcPr>
          <w:p>
            <w:pPr>
              <w:spacing w:after="0"/>
              <w:rPr>
                <w:sz w:val="14"/>
                <w:szCs w:val="14"/>
                <w:color w:val="auto"/>
              </w:rPr>
            </w:pP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(Principal Executive Officer) and Chief</w:t>
            </w:r>
          </w:p>
        </w:tc>
      </w:tr>
      <w:tr>
        <w:trPr>
          <w:trHeight w:val="172"/>
        </w:trPr>
        <w:tc>
          <w:tcPr>
            <w:tcW w:w="3080" w:type="dxa"/>
            <w:vAlign w:val="bottom"/>
          </w:tcPr>
          <w:p>
            <w:pPr>
              <w:spacing w:after="0"/>
              <w:rPr>
                <w:sz w:val="14"/>
                <w:szCs w:val="14"/>
                <w:color w:val="auto"/>
              </w:rPr>
            </w:pP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Financial Officer (Principal Financial</w:t>
            </w:r>
          </w:p>
        </w:tc>
      </w:tr>
      <w:tr>
        <w:trPr>
          <w:trHeight w:val="172"/>
        </w:trPr>
        <w:tc>
          <w:tcPr>
            <w:tcW w:w="3080" w:type="dxa"/>
            <w:vAlign w:val="bottom"/>
          </w:tcPr>
          <w:p>
            <w:pPr>
              <w:jc w:val="center"/>
              <w:ind w:left="1585"/>
              <w:spacing w:after="0"/>
              <w:rPr>
                <w:sz w:val="20"/>
                <w:szCs w:val="20"/>
                <w:color w:val="auto"/>
              </w:rPr>
            </w:pPr>
            <w:r>
              <w:rPr>
                <w:rFonts w:ascii="Courier New" w:cs="Courier New" w:eastAsia="Courier New" w:hAnsi="Courier New"/>
                <w:sz w:val="15"/>
                <w:szCs w:val="15"/>
                <w:color w:val="auto"/>
                <w:w w:val="99"/>
              </w:rPr>
              <w:t>/s/ IRIS BREST*</w:t>
            </w: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8760" w:type="dxa"/>
            <w:vAlign w:val="bottom"/>
            <w:gridSpan w:val="2"/>
          </w:tcPr>
          <w:p>
            <w:pPr>
              <w:jc w:val="center"/>
              <w:ind w:right="39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0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John J. Schwartz, Ph. D.</w:t>
            </w:r>
          </w:p>
        </w:tc>
      </w:tr>
      <w:tr>
        <w:trPr>
          <w:trHeight w:val="172"/>
        </w:trPr>
        <w:tc>
          <w:tcPr>
            <w:tcW w:w="3080" w:type="dxa"/>
            <w:vAlign w:val="bottom"/>
          </w:tcPr>
          <w:p>
            <w:pPr>
              <w:jc w:val="center"/>
              <w:ind w:left="1585"/>
              <w:spacing w:after="0"/>
              <w:rPr>
                <w:sz w:val="20"/>
                <w:szCs w:val="20"/>
                <w:color w:val="auto"/>
              </w:rPr>
            </w:pPr>
            <w:r>
              <w:rPr>
                <w:rFonts w:ascii="Courier New" w:cs="Courier New" w:eastAsia="Courier New" w:hAnsi="Courier New"/>
                <w:sz w:val="15"/>
                <w:szCs w:val="15"/>
                <w:color w:val="auto"/>
                <w:w w:val="99"/>
              </w:rPr>
              <w:t>/s/ IRIS BREST*</w:t>
            </w: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8760" w:type="dxa"/>
            <w:vAlign w:val="bottom"/>
            <w:gridSpan w:val="2"/>
          </w:tcPr>
          <w:p>
            <w:pPr>
              <w:jc w:val="center"/>
              <w:ind w:right="39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0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Donald Kennedy, Ph. D.</w:t>
            </w:r>
          </w:p>
        </w:tc>
      </w:tr>
      <w:tr>
        <w:trPr>
          <w:trHeight w:val="172"/>
        </w:trPr>
        <w:tc>
          <w:tcPr>
            <w:tcW w:w="3080" w:type="dxa"/>
            <w:vAlign w:val="bottom"/>
          </w:tcPr>
          <w:p>
            <w:pPr>
              <w:jc w:val="center"/>
              <w:ind w:left="1585"/>
              <w:spacing w:after="0"/>
              <w:rPr>
                <w:sz w:val="20"/>
                <w:szCs w:val="20"/>
                <w:color w:val="auto"/>
              </w:rPr>
            </w:pPr>
            <w:r>
              <w:rPr>
                <w:rFonts w:ascii="Courier New" w:cs="Courier New" w:eastAsia="Courier New" w:hAnsi="Courier New"/>
                <w:sz w:val="15"/>
                <w:szCs w:val="15"/>
                <w:color w:val="auto"/>
                <w:w w:val="99"/>
              </w:rPr>
              <w:t>/s/ IRIS BREST*</w:t>
            </w: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8760" w:type="dxa"/>
            <w:vAlign w:val="bottom"/>
            <w:gridSpan w:val="2"/>
          </w:tcPr>
          <w:p>
            <w:pPr>
              <w:jc w:val="center"/>
              <w:ind w:right="39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0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Mark J. Levin</w:t>
            </w:r>
          </w:p>
        </w:tc>
      </w:tr>
      <w:tr>
        <w:trPr>
          <w:trHeight w:val="172"/>
        </w:trPr>
        <w:tc>
          <w:tcPr>
            <w:tcW w:w="3080" w:type="dxa"/>
            <w:vAlign w:val="bottom"/>
          </w:tcPr>
          <w:p>
            <w:pPr>
              <w:jc w:val="center"/>
              <w:ind w:left="1585"/>
              <w:spacing w:after="0"/>
              <w:rPr>
                <w:sz w:val="20"/>
                <w:szCs w:val="20"/>
                <w:color w:val="auto"/>
              </w:rPr>
            </w:pPr>
            <w:r>
              <w:rPr>
                <w:rFonts w:ascii="Courier New" w:cs="Courier New" w:eastAsia="Courier New" w:hAnsi="Courier New"/>
                <w:sz w:val="15"/>
                <w:szCs w:val="15"/>
                <w:color w:val="auto"/>
                <w:w w:val="99"/>
              </w:rPr>
              <w:t>/s/ IRIS BREST*</w:t>
            </w: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8760" w:type="dxa"/>
            <w:vAlign w:val="bottom"/>
            <w:gridSpan w:val="2"/>
          </w:tcPr>
          <w:p>
            <w:pPr>
              <w:jc w:val="center"/>
              <w:ind w:right="39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080" w:type="dxa"/>
            <w:vAlign w:val="bottom"/>
          </w:tcPr>
          <w:p>
            <w:pPr>
              <w:spacing w:after="0"/>
              <w:rPr>
                <w:sz w:val="24"/>
                <w:szCs w:val="24"/>
                <w:color w:val="auto"/>
              </w:rPr>
            </w:pPr>
          </w:p>
        </w:tc>
        <w:tc>
          <w:tcPr>
            <w:tcW w:w="5680" w:type="dxa"/>
            <w:vAlign w:val="bottom"/>
          </w:tcPr>
          <w:p>
            <w:pPr>
              <w:ind w:left="1840"/>
              <w:spacing w:after="0"/>
              <w:rPr>
                <w:sz w:val="20"/>
                <w:szCs w:val="20"/>
                <w:color w:val="auto"/>
              </w:rPr>
            </w:pPr>
            <w:r>
              <w:rPr>
                <w:rFonts w:ascii="Courier New" w:cs="Courier New" w:eastAsia="Courier New" w:hAnsi="Courier New"/>
                <w:sz w:val="15"/>
                <w:szCs w:val="15"/>
                <w:color w:val="auto"/>
              </w:rPr>
              <w:t>Irving Weissman, M.D.</w:t>
            </w:r>
          </w:p>
        </w:tc>
      </w:tr>
      <w:tr>
        <w:trPr>
          <w:trHeight w:val="172"/>
        </w:trPr>
        <w:tc>
          <w:tcPr>
            <w:tcW w:w="3080" w:type="dxa"/>
            <w:vAlign w:val="bottom"/>
          </w:tcPr>
          <w:p>
            <w:pPr>
              <w:jc w:val="center"/>
              <w:ind w:left="1585"/>
              <w:spacing w:after="0"/>
              <w:rPr>
                <w:sz w:val="20"/>
                <w:szCs w:val="20"/>
                <w:color w:val="auto"/>
              </w:rPr>
            </w:pPr>
            <w:r>
              <w:rPr>
                <w:rFonts w:ascii="Courier New" w:cs="Courier New" w:eastAsia="Courier New" w:hAnsi="Courier New"/>
                <w:sz w:val="15"/>
                <w:szCs w:val="15"/>
                <w:color w:val="auto"/>
                <w:w w:val="99"/>
              </w:rPr>
              <w:t>/s/ IRIS BREST*</w:t>
            </w:r>
          </w:p>
        </w:tc>
        <w:tc>
          <w:tcPr>
            <w:tcW w:w="5680" w:type="dxa"/>
            <w:vAlign w:val="bottom"/>
          </w:tcPr>
          <w:p>
            <w:pPr>
              <w:ind w:left="2020"/>
              <w:spacing w:after="0"/>
              <w:rPr>
                <w:sz w:val="20"/>
                <w:szCs w:val="20"/>
                <w:color w:val="auto"/>
              </w:rPr>
            </w:pPr>
            <w:r>
              <w:rPr>
                <w:rFonts w:ascii="Courier New" w:cs="Courier New" w:eastAsia="Courier New" w:hAnsi="Courier New"/>
                <w:sz w:val="15"/>
                <w:szCs w:val="15"/>
                <w:color w:val="auto"/>
              </w:rPr>
              <w:t>Director</w:t>
            </w:r>
          </w:p>
        </w:tc>
      </w:tr>
    </w:tbl>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As attorney-in-fact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461" w:right="1440"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14"/>
                <w:szCs w:val="14"/>
                <w:color w:val="auto"/>
              </w:rPr>
            </w:pPr>
          </w:p>
        </w:tc>
        <w:tc>
          <w:tcPr>
            <w:tcW w:w="558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210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3.1*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4"/>
        </w:trPr>
        <w:tc>
          <w:tcPr>
            <w:tcW w:w="210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4.3X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4.4X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4.5X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4.6X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4.7X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10.1*</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4"/>
        </w:trPr>
        <w:tc>
          <w:tcPr>
            <w:tcW w:w="210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10.8*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4"/>
        </w:trPr>
        <w:tc>
          <w:tcPr>
            <w:tcW w:w="210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10.9**!!!!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r>
        <w:trPr>
          <w:trHeight w:val="344"/>
        </w:trPr>
        <w:tc>
          <w:tcPr>
            <w:tcW w:w="21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10.17**++++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bl>
    <w:p>
      <w:pPr>
        <w:sectPr>
          <w:pgSz w:w="11900" w:h="16838" w:orient="portrait"/>
          <w:cols w:equalWidth="0" w:num="1">
            <w:col w:w="10219"/>
          </w:cols>
          <w:pgMar w:left="240" w:top="461" w:right="1440"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8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8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4"/>
        </w:trPr>
        <w:tc>
          <w:tcPr>
            <w:tcW w:w="210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4"/>
        </w:trPr>
        <w:tc>
          <w:tcPr>
            <w:tcW w:w="210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2"/>
        </w:trPr>
        <w:tc>
          <w:tcPr>
            <w:tcW w:w="2100" w:type="dxa"/>
            <w:vAlign w:val="bottom"/>
          </w:tcPr>
          <w:p>
            <w:pPr>
              <w:spacing w:after="0"/>
              <w:rPr>
                <w:sz w:val="14"/>
                <w:szCs w:val="14"/>
                <w:color w:val="auto"/>
              </w:rPr>
            </w:pP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4"/>
        </w:trPr>
        <w:tc>
          <w:tcPr>
            <w:tcW w:w="2100" w:type="dxa"/>
            <w:vAlign w:val="bottom"/>
          </w:tcPr>
          <w:p>
            <w:pPr>
              <w:ind w:left="340"/>
              <w:spacing w:after="0"/>
              <w:rPr>
                <w:sz w:val="20"/>
                <w:szCs w:val="20"/>
                <w:color w:val="auto"/>
              </w:rPr>
            </w:pPr>
            <w:r>
              <w:rPr>
                <w:rFonts w:ascii="Courier New" w:cs="Courier New" w:eastAsia="Courier New" w:hAnsi="Courier New"/>
                <w:sz w:val="15"/>
                <w:szCs w:val="15"/>
                <w:color w:val="auto"/>
              </w:rPr>
              <w:t>21X</w:t>
            </w:r>
          </w:p>
        </w:tc>
        <w:tc>
          <w:tcPr>
            <w:tcW w:w="55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bl>
    <w:p>
      <w:pPr>
        <w:sectPr>
          <w:pgSz w:w="11900" w:h="16838" w:orient="portrait"/>
          <w:cols w:equalWidth="0" w:num="1">
            <w:col w:w="10219"/>
          </w:cols>
          <w:pgMar w:left="240" w:top="977" w:right="1440" w:bottom="1440" w:gutter="0" w:footer="0" w:header="0"/>
        </w:sectPr>
      </w:pPr>
    </w:p>
    <w:bookmarkStart w:id="102" w:name="page103"/>
    <w:bookmarkEnd w:id="102"/>
    <w:p>
      <w:pPr>
        <w:ind w:left="62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960"/>
        <w:spacing w:after="0"/>
        <w:rPr>
          <w:sz w:val="20"/>
          <w:szCs w:val="20"/>
          <w:color w:val="auto"/>
        </w:rPr>
      </w:pPr>
      <w:r>
        <w:rPr>
          <w:rFonts w:ascii="Courier New" w:cs="Courier New" w:eastAsia="Courier New" w:hAnsi="Courier New"/>
          <w:sz w:val="15"/>
          <w:szCs w:val="15"/>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2048" w:space="280"/>
            <w:col w:w="7899"/>
          </w:cols>
          <w:pgMar w:left="232" w:top="977" w:right="1440" w:bottom="678" w:gutter="0" w:footer="0" w:header="0"/>
        </w:sectPr>
      </w:pPr>
    </w:p>
    <w:p>
      <w:pPr>
        <w:ind w:left="448"/>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Ernst &amp; Young LLP, Independent Auditors.</w:t>
      </w:r>
    </w:p>
    <w:p>
      <w:pPr>
        <w:spacing w:after="0" w:line="209" w:lineRule="exact"/>
        <w:rPr>
          <w:sz w:val="20"/>
          <w:szCs w:val="20"/>
          <w:color w:val="auto"/>
        </w:rPr>
      </w:pPr>
    </w:p>
    <w:p>
      <w:pPr>
        <w:sectPr>
          <w:pgSz w:w="11900" w:h="16838" w:orient="portrait"/>
          <w:cols w:equalWidth="0" w:num="2">
            <w:col w:w="1428" w:space="720"/>
            <w:col w:w="8079"/>
          </w:cols>
          <w:pgMar w:left="232" w:top="977" w:right="1440" w:bottom="678" w:gutter="0" w:footer="0" w:header="0"/>
          <w:type w:val="continuous"/>
        </w:sectPr>
      </w:pPr>
    </w:p>
    <w:p>
      <w:pPr>
        <w:spacing w:after="0" w:line="1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528" w:right="3599" w:hanging="528"/>
        <w:spacing w:after="0" w:line="241" w:lineRule="auto"/>
        <w:tabs>
          <w:tab w:leader="none" w:pos="43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6" w:lineRule="exact"/>
        <w:rPr>
          <w:sz w:val="20"/>
          <w:szCs w:val="20"/>
          <w:color w:val="auto"/>
        </w:rPr>
      </w:pPr>
    </w:p>
    <w:p>
      <w:pPr>
        <w:ind w:left="528" w:right="3599" w:hanging="528"/>
        <w:spacing w:after="0" w:line="241" w:lineRule="auto"/>
        <w:tabs>
          <w:tab w:leader="none" w:pos="43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6" w:lineRule="exact"/>
        <w:rPr>
          <w:sz w:val="20"/>
          <w:szCs w:val="20"/>
          <w:color w:val="auto"/>
        </w:rPr>
      </w:pPr>
    </w:p>
    <w:p>
      <w:pPr>
        <w:ind w:left="528" w:right="3599" w:hanging="528"/>
        <w:spacing w:after="0" w:line="241" w:lineRule="auto"/>
        <w:tabs>
          <w:tab w:leader="none" w:pos="43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6" w:lineRule="exact"/>
        <w:rPr>
          <w:sz w:val="20"/>
          <w:szCs w:val="20"/>
          <w:color w:val="auto"/>
        </w:rPr>
      </w:pPr>
    </w:p>
    <w:p>
      <w:pPr>
        <w:ind w:left="528" w:right="3439" w:hanging="528"/>
        <w:spacing w:after="0" w:line="260" w:lineRule="auto"/>
        <w:tabs>
          <w:tab w:leader="none" w:pos="61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6" w:lineRule="exact"/>
        <w:rPr>
          <w:sz w:val="20"/>
          <w:szCs w:val="20"/>
          <w:color w:val="auto"/>
        </w:rPr>
      </w:pPr>
    </w:p>
    <w:p>
      <w:pPr>
        <w:ind w:left="528" w:right="3339" w:hanging="528"/>
        <w:spacing w:after="0" w:line="241" w:lineRule="auto"/>
        <w:tabs>
          <w:tab w:leader="none" w:pos="52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6" w:lineRule="exact"/>
        <w:rPr>
          <w:sz w:val="20"/>
          <w:szCs w:val="20"/>
          <w:color w:val="auto"/>
        </w:rPr>
      </w:pPr>
    </w:p>
    <w:p>
      <w:pPr>
        <w:ind w:left="528" w:right="3519" w:hanging="528"/>
        <w:spacing w:after="0" w:line="242" w:lineRule="auto"/>
        <w:tabs>
          <w:tab w:leader="none" w:pos="6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5" w:lineRule="exact"/>
        <w:rPr>
          <w:sz w:val="20"/>
          <w:szCs w:val="20"/>
          <w:color w:val="auto"/>
        </w:rPr>
      </w:pPr>
    </w:p>
    <w:p>
      <w:pPr>
        <w:ind w:left="528" w:right="3079" w:hanging="528"/>
        <w:spacing w:after="0" w:line="241" w:lineRule="auto"/>
        <w:tabs>
          <w:tab w:leader="none" w:pos="43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6" w:lineRule="exact"/>
        <w:rPr>
          <w:sz w:val="20"/>
          <w:szCs w:val="20"/>
          <w:color w:val="auto"/>
        </w:rPr>
      </w:pPr>
    </w:p>
    <w:p>
      <w:pPr>
        <w:ind w:left="528" w:right="3339" w:hanging="528"/>
        <w:spacing w:after="0" w:line="267" w:lineRule="auto"/>
        <w:tabs>
          <w:tab w:leader="none" w:pos="528"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8" w:right="3079" w:hanging="528"/>
        <w:spacing w:after="0" w:line="241" w:lineRule="auto"/>
        <w:tabs>
          <w:tab w:leader="none" w:pos="61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6" w:lineRule="exact"/>
        <w:rPr>
          <w:sz w:val="20"/>
          <w:szCs w:val="20"/>
          <w:color w:val="auto"/>
        </w:rPr>
      </w:pPr>
    </w:p>
    <w:p>
      <w:pPr>
        <w:ind w:left="528" w:right="3079" w:hanging="528"/>
        <w:spacing w:after="0" w:line="241" w:lineRule="auto"/>
        <w:tabs>
          <w:tab w:leader="none" w:pos="61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6" w:lineRule="exact"/>
        <w:rPr>
          <w:sz w:val="20"/>
          <w:szCs w:val="20"/>
          <w:color w:val="auto"/>
        </w:rPr>
      </w:pPr>
    </w:p>
    <w:p>
      <w:pPr>
        <w:ind w:left="528" w:right="3159" w:hanging="528"/>
        <w:spacing w:after="0" w:line="267" w:lineRule="auto"/>
        <w:tabs>
          <w:tab w:leader="none" w:pos="70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8" w:right="3159" w:hanging="528"/>
        <w:spacing w:after="0" w:line="241" w:lineRule="auto"/>
        <w:tabs>
          <w:tab w:leader="none" w:pos="707"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6" w:lineRule="exact"/>
        <w:rPr>
          <w:sz w:val="20"/>
          <w:szCs w:val="20"/>
          <w:color w:val="auto"/>
        </w:rPr>
      </w:pPr>
    </w:p>
    <w:p>
      <w:pPr>
        <w:ind w:left="528" w:right="3079" w:hanging="528"/>
        <w:spacing w:after="0" w:line="241" w:lineRule="auto"/>
        <w:tabs>
          <w:tab w:leader="none" w:pos="61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6" w:lineRule="exact"/>
        <w:rPr>
          <w:rFonts w:ascii="Courier New" w:cs="Courier New" w:eastAsia="Courier New" w:hAnsi="Courier New"/>
          <w:sz w:val="15"/>
          <w:szCs w:val="15"/>
          <w:color w:val="auto"/>
        </w:rPr>
      </w:pPr>
    </w:p>
    <w:p>
      <w:pPr>
        <w:ind w:left="528" w:right="3439" w:hanging="528"/>
        <w:spacing w:after="0" w:line="241" w:lineRule="auto"/>
        <w:tabs>
          <w:tab w:leader="none" w:pos="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6" w:lineRule="exact"/>
        <w:rPr>
          <w:sz w:val="20"/>
          <w:szCs w:val="20"/>
          <w:color w:val="auto"/>
        </w:rPr>
      </w:pPr>
    </w:p>
    <w:p>
      <w:pPr>
        <w:ind w:left="528" w:right="3339" w:hanging="528"/>
        <w:spacing w:after="0" w:line="267" w:lineRule="auto"/>
        <w:tabs>
          <w:tab w:leader="none" w:pos="43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8" w:right="3159" w:hanging="528"/>
        <w:spacing w:after="0" w:line="241" w:lineRule="auto"/>
        <w:tabs>
          <w:tab w:leader="none" w:pos="61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6" w:lineRule="exact"/>
        <w:rPr>
          <w:sz w:val="20"/>
          <w:szCs w:val="20"/>
          <w:color w:val="auto"/>
        </w:rPr>
      </w:pPr>
    </w:p>
    <w:p>
      <w:pPr>
        <w:ind w:left="528" w:right="3439" w:hanging="536"/>
        <w:spacing w:after="0" w:line="242"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5" w:lineRule="exact"/>
        <w:rPr>
          <w:sz w:val="20"/>
          <w:szCs w:val="20"/>
          <w:color w:val="auto"/>
        </w:rPr>
      </w:pPr>
    </w:p>
    <w:p>
      <w:pPr>
        <w:jc w:val="both"/>
        <w:ind w:left="528" w:right="3339" w:hanging="536"/>
        <w:spacing w:after="0" w:line="241"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6" w:lineRule="exact"/>
        <w:rPr>
          <w:sz w:val="20"/>
          <w:szCs w:val="20"/>
          <w:color w:val="auto"/>
        </w:rPr>
      </w:pPr>
    </w:p>
    <w:p>
      <w:pPr>
        <w:jc w:val="both"/>
        <w:ind w:left="528" w:right="3339" w:hanging="528"/>
        <w:spacing w:after="0" w:line="241" w:lineRule="auto"/>
        <w:tabs>
          <w:tab w:leader="none" w:pos="52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ectPr>
          <w:pgSz w:w="11900" w:h="16838" w:orient="portrait"/>
          <w:cols w:equalWidth="0" w:num="1">
            <w:col w:w="10227"/>
          </w:cols>
          <w:pgMar w:left="232" w:top="977" w:right="1440" w:bottom="678" w:gutter="0" w:footer="0" w:header="0"/>
          <w:type w:val="continuous"/>
        </w:sectPr>
      </w:pPr>
    </w:p>
    <w:bookmarkStart w:id="103" w:name="page104"/>
    <w:bookmarkEnd w:id="103"/>
    <w:p>
      <w:pPr>
        <w:ind w:right="3159"/>
        <w:spacing w:after="0" w:line="242" w:lineRule="auto"/>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Right to Purchase the Specified Number of</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Shares of Common Stock of StemCells, Inc</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COMMON STOCK PURCHASE WARRANT, CLASS 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A-1</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STEMCELLS, INC., a Delaware corporation (the "Company"), hereby certifies that, for value received, Millennium Partners, L.P. or its registered assigns (the "Holder"), is entitled, subject to the terms set forth below, to purchase from the Company at any time or from time to time during the Exercise Period (such capitalized term and all other capitalized terms used herein having the respective meanings provided herein), the Specified Number of fully paid and nonassessable shares of Common Stock at a purchase price per share equal to the Purchase Price. The number of such shares of Common Stock is subject to adjustment as provided in this Warrant.</w:t>
      </w:r>
    </w:p>
    <w:p>
      <w:pPr>
        <w:spacing w:after="0" w:line="178" w:lineRule="exact"/>
        <w:rPr>
          <w:sz w:val="20"/>
          <w:szCs w:val="20"/>
          <w:color w:val="auto"/>
        </w:rPr>
      </w:pPr>
    </w:p>
    <w:p>
      <w:pPr>
        <w:ind w:right="3159" w:firstLine="1342"/>
        <w:spacing w:after="0"/>
        <w:rPr>
          <w:sz w:val="20"/>
          <w:szCs w:val="20"/>
          <w:color w:val="auto"/>
        </w:rPr>
      </w:pPr>
      <w:r>
        <w:rPr>
          <w:rFonts w:ascii="Courier New" w:cs="Courier New" w:eastAsia="Courier New" w:hAnsi="Courier New"/>
          <w:sz w:val="15"/>
          <w:szCs w:val="15"/>
          <w:color w:val="auto"/>
        </w:rPr>
        <w:t>As used herein the following terms, unless the context otherwise requires, have the following respective meanings:</w:t>
      </w:r>
    </w:p>
    <w:p>
      <w:pPr>
        <w:spacing w:after="0" w:line="176" w:lineRule="exact"/>
        <w:rPr>
          <w:sz w:val="20"/>
          <w:szCs w:val="20"/>
          <w:color w:val="auto"/>
        </w:rPr>
      </w:pPr>
    </w:p>
    <w:p>
      <w:pPr>
        <w:ind w:right="3079" w:firstLine="1342"/>
        <w:spacing w:after="0" w:line="241" w:lineRule="auto"/>
        <w:rPr>
          <w:sz w:val="20"/>
          <w:szCs w:val="20"/>
          <w:color w:val="auto"/>
        </w:rPr>
      </w:pPr>
      <w:r>
        <w:rPr>
          <w:rFonts w:ascii="Courier New" w:cs="Courier New" w:eastAsia="Courier New" w:hAnsi="Courier New"/>
          <w:sz w:val="15"/>
          <w:szCs w:val="15"/>
          <w:color w:val="auto"/>
        </w:rPr>
        <w:t>"Adjustment Date" means any of the First Adjustment Date and each date which occurs every 90 days after the First Adjustment Date through and including the date which is 810 days after the Issuance Date.</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"Adjustment Factor" means 1.015.</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"Adjustment Shares" means the number of shares of Common Stock, determined on each Adjustment Date in accordance with Section 1.3(a), to be added to the Specified Number on each Adjustment Date in accordance with Section 1.3(b).</w:t>
      </w:r>
    </w:p>
    <w:p>
      <w:pPr>
        <w:spacing w:after="0" w:line="175" w:lineRule="exact"/>
        <w:rPr>
          <w:sz w:val="20"/>
          <w:szCs w:val="20"/>
          <w:color w:val="auto"/>
        </w:rPr>
      </w:pPr>
    </w:p>
    <w:p>
      <w:pPr>
        <w:ind w:right="3439" w:firstLine="1342"/>
        <w:spacing w:after="0" w:line="241" w:lineRule="auto"/>
        <w:rPr>
          <w:sz w:val="20"/>
          <w:szCs w:val="20"/>
          <w:color w:val="auto"/>
        </w:rPr>
      </w:pPr>
      <w:r>
        <w:rPr>
          <w:rFonts w:ascii="Courier New" w:cs="Courier New" w:eastAsia="Courier New" w:hAnsi="Courier New"/>
          <w:sz w:val="15"/>
          <w:szCs w:val="15"/>
          <w:color w:val="auto"/>
        </w:rPr>
        <w:t>"Auditors" means Ernst &amp; Young LLP or such other firm of independent public accountants of recognized national standing as shall have been engaged by the Company to audit its financial statements.</w:t>
      </w:r>
    </w:p>
    <w:p>
      <w:pPr>
        <w:sectPr>
          <w:pgSz w:w="11900" w:h="16838" w:orient="portrait"/>
          <w:cols w:equalWidth="0" w:num="1">
            <w:col w:w="10219"/>
          </w:cols>
          <w:pgMar w:left="240" w:top="829" w:right="1440" w:bottom="1440" w:gutter="0" w:footer="0" w:header="0"/>
        </w:sectPr>
      </w:pPr>
    </w:p>
    <w:bookmarkStart w:id="104" w:name="page105"/>
    <w:bookmarkEnd w:id="104"/>
    <w:p>
      <w:pPr>
        <w:ind w:right="3339" w:firstLine="1342"/>
        <w:spacing w:after="0"/>
        <w:rPr>
          <w:sz w:val="20"/>
          <w:szCs w:val="20"/>
          <w:color w:val="auto"/>
        </w:rPr>
      </w:pPr>
      <w:r>
        <w:rPr>
          <w:rFonts w:ascii="Courier New" w:cs="Courier New" w:eastAsia="Courier New" w:hAnsi="Courier New"/>
          <w:sz w:val="15"/>
          <w:szCs w:val="15"/>
          <w:color w:val="auto"/>
        </w:rPr>
        <w:t>"Average Market Price" means the arithmetic average of the ten (10) lowest Market Prices during the applicable Measurement Period.</w:t>
      </w:r>
    </w:p>
    <w:p>
      <w:pPr>
        <w:spacing w:after="0" w:line="176"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"Cash and Cash Equivalent Balances" of any person on any date shall be determined from such person's books maintained in accordance with Generally Accepted Accounting Principles, and means, without duplication, the sum of (1) the cash accrued by such person and its subsidiaries on a consolidated basis on such date and available for use by such person and its subsidiaries on such date and (2) all assets which would, on a consolidated balance sheet of such person and its subsidiaries prepared as of such date in accordance with Generally Accepted Accounting Principles, be classified as cash or cash equivalents, less the amount thereof which secures any outstanding indebtedness of such person or its subsidiaries.</w:t>
      </w:r>
    </w:p>
    <w:p>
      <w:pPr>
        <w:spacing w:after="0" w:line="179" w:lineRule="exact"/>
        <w:rPr>
          <w:sz w:val="20"/>
          <w:szCs w:val="20"/>
          <w:color w:val="auto"/>
        </w:rPr>
      </w:pPr>
    </w:p>
    <w:p>
      <w:pPr>
        <w:ind w:right="3519" w:firstLine="1342"/>
        <w:spacing w:after="0"/>
        <w:rPr>
          <w:sz w:val="20"/>
          <w:szCs w:val="20"/>
          <w:color w:val="auto"/>
        </w:rPr>
      </w:pPr>
      <w:r>
        <w:rPr>
          <w:rFonts w:ascii="Courier New" w:cs="Courier New" w:eastAsia="Courier New" w:hAnsi="Courier New"/>
          <w:sz w:val="15"/>
          <w:szCs w:val="15"/>
          <w:color w:val="auto"/>
        </w:rPr>
        <w:t>"Callable Warrant" means the Callable Warrant, issued by the Company pursuant to the Subscription Agreement.</w:t>
      </w:r>
    </w:p>
    <w:p>
      <w:pPr>
        <w:spacing w:after="0" w:line="176" w:lineRule="exact"/>
        <w:rPr>
          <w:sz w:val="20"/>
          <w:szCs w:val="20"/>
          <w:color w:val="auto"/>
        </w:rPr>
      </w:pPr>
    </w:p>
    <w:p>
      <w:pPr>
        <w:ind w:right="3159" w:firstLine="1342"/>
        <w:spacing w:after="0" w:line="263" w:lineRule="auto"/>
        <w:rPr>
          <w:sz w:val="20"/>
          <w:szCs w:val="20"/>
          <w:color w:val="auto"/>
        </w:rPr>
      </w:pPr>
      <w:r>
        <w:rPr>
          <w:rFonts w:ascii="Courier New" w:cs="Courier New" w:eastAsia="Courier New" w:hAnsi="Courier New"/>
          <w:sz w:val="14"/>
          <w:szCs w:val="14"/>
          <w:color w:val="auto"/>
        </w:rPr>
        <w:t>"Class A Warrant Shares" means those shares of Common Stock issued upon exercise of this Warrant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6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"Commission" means the Securities and Exchange Commission.</w:t>
      </w:r>
    </w:p>
    <w:p>
      <w:pPr>
        <w:spacing w:after="0" w:line="176"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"Common Shares Held" as of any date means the sum of (1) the number of Initial Shares which are then held by the Holder plus (2) the number of Class A Warrant Shares which are then held by the Holder plus (3) the number of shares of Common Stock which are issuable upon exercise of this Warrant immediately prior to the determination of the number of Adjustment Shares pursuant to Section 1.3(a).</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"Common Stock" means the Company's Common Stock, $.01 par value per share, as authorized on the date hereof, and any other securities into which or for which the Common Stock may be converted or exchanged pursuant to a plan of recapitalization, reorganization, merger, sale of assets or otherwise.</w:t>
      </w:r>
    </w:p>
    <w:p>
      <w:pPr>
        <w:spacing w:after="0" w:line="175" w:lineRule="exact"/>
        <w:rPr>
          <w:sz w:val="20"/>
          <w:szCs w:val="20"/>
          <w:color w:val="auto"/>
        </w:rPr>
      </w:pPr>
    </w:p>
    <w:p>
      <w:pPr>
        <w:ind w:right="3159" w:firstLine="1342"/>
        <w:spacing w:after="0" w:line="241" w:lineRule="auto"/>
        <w:rPr>
          <w:sz w:val="20"/>
          <w:szCs w:val="20"/>
          <w:color w:val="auto"/>
        </w:rPr>
      </w:pPr>
      <w:r>
        <w:rPr>
          <w:rFonts w:ascii="Courier New" w:cs="Courier New" w:eastAsia="Courier New" w:hAnsi="Courier New"/>
          <w:sz w:val="15"/>
          <w:szCs w:val="15"/>
          <w:color w:val="auto"/>
        </w:rPr>
        <w:t>"Company" shall include StemCells, Inc., a Delaware corporation, and any corporation that shall succeed to or assume the obligations of StemCells, Inc. hereunder in accordance with the terms hereof.</w:t>
      </w:r>
    </w:p>
    <w:p>
      <w:pPr>
        <w:spacing w:after="0" w:line="176"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"Control Notice" means a notice given by the Company to the Holder, in accordance with Section 1.5(b), (i) stating that a Share Limitation Event has occurred by reason of events which are not solely within the control of the Company and (ii) enclosing an executed copy of an Auditors' Determination.</w:t>
      </w:r>
    </w:p>
    <w:p>
      <w:pPr>
        <w:spacing w:after="0" w:line="175" w:lineRule="exact"/>
        <w:rPr>
          <w:sz w:val="20"/>
          <w:szCs w:val="20"/>
          <w:color w:val="auto"/>
        </w:rPr>
      </w:pPr>
    </w:p>
    <w:p>
      <w:pPr>
        <w:ind w:right="3159" w:firstLine="1342"/>
        <w:spacing w:after="0" w:line="274" w:lineRule="auto"/>
        <w:rPr>
          <w:sz w:val="20"/>
          <w:szCs w:val="20"/>
          <w:color w:val="auto"/>
        </w:rPr>
      </w:pPr>
      <w:r>
        <w:rPr>
          <w:rFonts w:ascii="Courier New" w:cs="Courier New" w:eastAsia="Courier New" w:hAnsi="Courier New"/>
          <w:sz w:val="14"/>
          <w:szCs w:val="14"/>
          <w:color w:val="auto"/>
        </w:rPr>
        <w:t>"Exercise Period" means the period commencing on the First Adjustment Date and ending thirty (30) days following the Last Adjustment Date.</w:t>
      </w:r>
    </w:p>
    <w:p>
      <w:pPr>
        <w:spacing w:after="0" w:line="154" w:lineRule="exact"/>
        <w:rPr>
          <w:sz w:val="20"/>
          <w:szCs w:val="20"/>
          <w:color w:val="auto"/>
        </w:rPr>
      </w:pPr>
    </w:p>
    <w:p>
      <w:pPr>
        <w:ind w:right="3339" w:firstLine="1342"/>
        <w:spacing w:after="0"/>
        <w:rPr>
          <w:sz w:val="20"/>
          <w:szCs w:val="20"/>
          <w:color w:val="auto"/>
        </w:rPr>
      </w:pPr>
      <w:r>
        <w:rPr>
          <w:rFonts w:ascii="Courier New" w:cs="Courier New" w:eastAsia="Courier New" w:hAnsi="Courier New"/>
          <w:sz w:val="15"/>
          <w:szCs w:val="15"/>
          <w:color w:val="auto"/>
        </w:rPr>
        <w:t>"First Adjustment Date" means the date which is 180 days after the Issuance Date.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05" w:name="page106"/>
    <w:bookmarkEnd w:id="105"/>
    <w:p>
      <w:pPr>
        <w:ind w:right="3079" w:firstLine="1342"/>
        <w:spacing w:after="0" w:line="267" w:lineRule="auto"/>
        <w:rPr>
          <w:sz w:val="20"/>
          <w:szCs w:val="20"/>
          <w:color w:val="auto"/>
        </w:rPr>
      </w:pPr>
      <w:r>
        <w:rPr>
          <w:rFonts w:ascii="Courier New" w:cs="Courier New" w:eastAsia="Courier New" w:hAnsi="Courier New"/>
          <w:sz w:val="14"/>
          <w:szCs w:val="14"/>
          <w:color w:val="auto"/>
        </w:rPr>
        <w:t>"Generally Accepted Accounting Principles" for any person means the generally accepted accounting principles and practices applied by such person from time to time in the preparation of its audited financial statements.</w:t>
      </w:r>
    </w:p>
    <w:p>
      <w:pPr>
        <w:spacing w:after="0" w:line="159"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"Holder Repurchase Price" means, for each share of Common Stock which may not be issued upon exercise of this Warrant by reason of the Shareholder Approval Rule in accordance with Section 1.4 (c), 120% of the greater of: (x) the arithmetic average of the Market Price on each of the five consecutive Trading Days immediately prior to and including the expiration of the 75-day period referred to in Section 1.4(c) or the Repurchase Date referred to in Section 1.4(b), as the case may be, (y) the arithmetic average of the Market Price on each of the five consecutive Trading Days immediately prior to the repurchase date pursuant to Section 1.4(c) or Section 1.4(b) and (z) if determined prior to the First Adjustment Date, the price per share paid by the Holder for the shares of Common Stock purchased on the Issuance Date pursuant to the Subscription Agreement or, if determined on or after the First Adjustment Date, the most recent Adjustment Price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84"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"Initial Shares" means those shares of Common Stock purchased by the Holder on the Issuance Date pursuant to the Subscription Agreement (subject to equitable adjustment from time to time on terms reasonably acceptable to the Holder for stock splits, stock dividends, combinations, recapitalizations, reclassifications, distributions, Tender Offers and similar events occurring after the Issuance Date), excluding shares issuable pursuant to the Callable Warrant, minus 289,086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349"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"Issuance Date" means the first date of original issuance of this</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Warrant.</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"Market Price" of the Common Stock on any date means the closing bid price for one share of Common Stock on such date on the first applicable among the following: (a) the national securities exchange on which the shares of Common Stock are listed which constitutes the principal securities market for the Common Stock, (b) the Nasdaq, if the Nasdaq constitutes the principal market for the Common Stock on such date, or (c) the Nasdaq SmallCap, if the Nasdaq SmallCap constitutes the principal securities market for the Common Stock on such date, in any such case as reported by Bloomberg, LP.; provided, however, that if during any Measurement Period or other period during which the Market Price is being determined:</w:t>
      </w:r>
    </w:p>
    <w:p>
      <w:pPr>
        <w:spacing w:after="0" w:line="179" w:lineRule="exact"/>
        <w:rPr>
          <w:sz w:val="20"/>
          <w:szCs w:val="20"/>
          <w:color w:val="auto"/>
        </w:rPr>
      </w:pPr>
    </w:p>
    <w:p>
      <w:pPr>
        <w:ind w:left="1340" w:right="3159" w:firstLine="530"/>
        <w:spacing w:after="0" w:line="260" w:lineRule="auto"/>
        <w:tabs>
          <w:tab w:leader="none" w:pos="2503"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declare or pay a dividend or make a distribution to all holders of the outstanding Common Stock in shares of Common Stock or fix any record date for any such action, then the Market Price for each day in such Measurement Period or such other period which day is prior to the earlier of</w:t>
      </w:r>
    </w:p>
    <w:p>
      <w:pPr>
        <w:ind w:left="1340" w:right="3079" w:hanging="7"/>
        <w:spacing w:after="0" w:line="242" w:lineRule="auto"/>
        <w:tabs>
          <w:tab w:leader="none" w:pos="169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fixed for the determination of stockholders entitled to receive such dividend or other distribution and (2) the date on which ex-dividend trading in the Common Stock with respect to such dividend or distribution begins shall be reduced by multiplying the Market Price (determined without regard to</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806" w:right="1440" w:bottom="1440" w:gutter="0" w:footer="0" w:header="0"/>
        </w:sectPr>
      </w:pPr>
    </w:p>
    <w:bookmarkStart w:id="106" w:name="page107"/>
    <w:bookmarkEnd w:id="106"/>
    <w:p>
      <w:pPr>
        <w:ind w:left="140" w:right="3079"/>
        <w:spacing w:after="0" w:line="242" w:lineRule="auto"/>
        <w:rPr>
          <w:sz w:val="20"/>
          <w:szCs w:val="20"/>
          <w:color w:val="auto"/>
        </w:rPr>
      </w:pPr>
      <w:r>
        <w:rPr>
          <w:rFonts w:ascii="Courier New" w:cs="Courier New" w:eastAsia="Courier New" w:hAnsi="Courier New"/>
          <w:sz w:val="15"/>
          <w:szCs w:val="15"/>
          <w:color w:val="auto"/>
        </w:rPr>
        <w:t>this proviso) for each such day in such Measurement Period or such other period by a fraction, the numerator of which shall be the number of shares of Common Stock outstanding at the close of business on the earlier of (1) the record date fixed for such determination and (2) the date on which ex-dividend trading in the Common Stock with respect to such dividend or distribution begins and the denominator of which shall be the sum of such number of shares and the total number of shares constituting such dividend or other distribution;</w:t>
      </w:r>
    </w:p>
    <w:p>
      <w:pPr>
        <w:spacing w:after="0" w:line="178" w:lineRule="exact"/>
        <w:rPr>
          <w:sz w:val="20"/>
          <w:szCs w:val="20"/>
          <w:color w:val="auto"/>
        </w:rPr>
      </w:pPr>
    </w:p>
    <w:p>
      <w:pPr>
        <w:ind w:left="140" w:right="3079" w:firstLine="530"/>
        <w:spacing w:after="0" w:line="260" w:lineRule="auto"/>
        <w:tabs>
          <w:tab w:leader="none" w:pos="1303"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issue rights or warrants to all holders of its outstanding shares of Common Stock, or fix a record date for such issuance, which rights or warrants entitle such holders (for a period expiring within forty-five (45) days after the date fixed for the determination of stockholders entitled to receive such rights or warrants) to subscribe for or purchase shares of Common Stock at a price per share less than the Market Price (determined without regard to this proviso) for any day in such Measurement Period or such other period which day is prior to the end of such 45-day period, then the Market Price for each such day shall be reduced so that the same shall equal the price determined by multiplying the Market Price (determined without regard to this proviso) by a fraction, the numerator of which shall be the number of shares of Common Stock outstanding at the close of business on the record date fixed for the determination of stockholders entitled to receive such rights or warrants plus the number of shares which the aggregate offering price of the total number of shares so offered would purchase at such Market Price, and the denominator of which shall be the number of shares of Common Stock outstanding on the close of business on such record date plus the total number of additional shares of Common Stock so offered for subscription or purchase. In determining whether any rights or warrants entitle the holders to subscribe for or purchase shares of Common Stock at less than the Market Price (determined without regard to this proviso), and in determining the aggregate offering price of such shares of Common Stock, there shall be taken into account any consideration received for such rights or warrants, the value of such consideration, if other than cash, to be determined in good faith by a resolution of the Board of Directors of the Company;</w:t>
      </w:r>
    </w:p>
    <w:p>
      <w:pPr>
        <w:spacing w:after="0" w:line="349" w:lineRule="exact"/>
        <w:rPr>
          <w:rFonts w:ascii="Courier New" w:cs="Courier New" w:eastAsia="Courier New" w:hAnsi="Courier New"/>
          <w:sz w:val="14"/>
          <w:szCs w:val="14"/>
          <w:color w:val="auto"/>
        </w:rPr>
      </w:pPr>
    </w:p>
    <w:p>
      <w:pPr>
        <w:ind w:left="140" w:right="3079" w:firstLine="530"/>
        <w:spacing w:after="0" w:line="260" w:lineRule="auto"/>
        <w:tabs>
          <w:tab w:leader="none" w:pos="1303"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shares of Common Stock shall be subdivided into a greater number of shares of Common Stock or a record date for any such subdivision shall be fixed, then the Market Price of the Common Stock for each day in such Measurement Period or such other period which day is prior to the earlier of</w:t>
      </w:r>
    </w:p>
    <w:p>
      <w:pPr>
        <w:ind w:left="140" w:right="3079" w:hanging="7"/>
        <w:spacing w:after="0" w:line="242" w:lineRule="auto"/>
        <w:tabs>
          <w:tab w:leader="none" w:pos="49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upon which such subdivision becomes effective and (2) the date on which ex-dividend trading in the Common Stock with respect to such subdivision begins shall be proportionately reduced, and conversely, in case the outstanding shares of Common Stock shall be combined into a smaller number of shares of Common Stock, the Market Price for each day in such Measurement Period or such other period which day is prior to the earlier of (1) the date on which such combination becomes effective and (2) the date on which trading in the Common Stock on a basis which gives effect to such combination begins, shall be proportionately increased;</w:t>
      </w:r>
    </w:p>
    <w:p>
      <w:pPr>
        <w:spacing w:after="0" w:line="350"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635" w:right="1440" w:bottom="1440" w:gutter="0" w:footer="0" w:header="0"/>
        </w:sectPr>
      </w:pPr>
    </w:p>
    <w:bookmarkStart w:id="107" w:name="page108"/>
    <w:bookmarkEnd w:id="107"/>
    <w:p>
      <w:pPr>
        <w:ind w:left="140" w:right="3079" w:firstLine="530"/>
        <w:spacing w:after="0" w:line="260" w:lineRule="auto"/>
        <w:tabs>
          <w:tab w:leader="none" w:pos="1303"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by dividend or otherwise, distribute to all holders of its Common Stock shares of any class of capital stock of the Company (other than any dividends or distributions to which clause (i) of this proviso applies) or evidences of its indebtedness, cash or other assets (including securities, but excluding any rights or warrants referred to in clause (ii) of this proviso and dividends and distributions paid exclusively in cash and excluding any capital stock, evidences of indebtedness, cash or assets distributed upon a merger or consolidation) (the foregoing hereinafter in this clause (iv) of this proviso called the "Securities"), or fix a record date for any such distribution, then, in each such case, the Market Price for each day in such Measurement Period or such other period which day is prior to the earlier of (1) the record date for such distribution and (2) the date on which ex-dividend trading in the Common Stock with respect to such distribution begins shall be reduced so that the same shall be equal to the price determined by multiplying the Market Price (determined without regard to this proviso) by a fraction, the numerator of which shall be the Market Price (determined without regard to this proviso) for such date less the fair market value (as determined in good faith by resolution of the Board of Directors of the Company) on such date of the portion of the Securities so distributed or to be distributed applicable to one share of Common Stock and the denominator of which shall be the Market Price (determined without regard to this proviso) for such date. If the Board of Directors of the Company determines the fair market value of any distribution for purposes of this clause (iv) by reference to the actual or when issued trading market for any Securities comprising all or part of such distribution, it must in doing so consider the prices in such market on the same day for which an adjustment in the Market Price is being determined.</w:t>
      </w:r>
    </w:p>
    <w:p>
      <w:pPr>
        <w:spacing w:after="0" w:line="200" w:lineRule="exact"/>
        <w:rPr>
          <w:sz w:val="20"/>
          <w:szCs w:val="20"/>
          <w:color w:val="auto"/>
        </w:rPr>
      </w:pPr>
    </w:p>
    <w:p>
      <w:pPr>
        <w:spacing w:after="0" w:line="322" w:lineRule="exact"/>
        <w:rPr>
          <w:sz w:val="20"/>
          <w:szCs w:val="20"/>
          <w:color w:val="auto"/>
        </w:rPr>
      </w:pPr>
    </w:p>
    <w:p>
      <w:pPr>
        <w:ind w:left="140" w:right="3079" w:firstLine="626"/>
        <w:spacing w:after="0" w:line="261" w:lineRule="auto"/>
        <w:rPr>
          <w:sz w:val="20"/>
          <w:szCs w:val="20"/>
          <w:color w:val="auto"/>
        </w:rPr>
      </w:pPr>
      <w:r>
        <w:rPr>
          <w:rFonts w:ascii="Courier New" w:cs="Courier New" w:eastAsia="Courier New" w:hAnsi="Courier New"/>
          <w:sz w:val="14"/>
          <w:szCs w:val="14"/>
          <w:color w:val="auto"/>
        </w:rPr>
        <w:t>For purposes of this clause (iv) and clauses (i) and (ii) of this proviso, any dividend or distribution to which this clause (iv) is applicable that also includes shares of Common Stock, or rights or warrants to subscribe for or purchase shares of Common Stock to which clause (i) or (ii) of this proviso applies (or both), shall be deemed instead to be (1) a dividend or distribution of the evidences of indebtedness, assets, shares of capital stock, rights or warrants other than such shares of Common Stock or rights or warrants to which clause (i) or (ii) of this proviso applies (and any Market Price reduction required by this clause (iv) with respect to such dividend or distribution shall then be made) immediately followed by (2) a dividend or distribution of such shares of Common Stock or such rights or warrants (and any further Market Price reduction required by clauses (i) and (ii) of this proviso with respect to such dividend or distribution shall then be made), except that any shares of Common Stock included in such dividend or distribution shall not be deemed "outstanding at the close of business on the date fixed for such determination" within the meaning of clause</w:t>
      </w:r>
    </w:p>
    <w:p>
      <w:pPr>
        <w:spacing w:after="0" w:line="162" w:lineRule="exact"/>
        <w:rPr>
          <w:sz w:val="20"/>
          <w:szCs w:val="20"/>
          <w:color w:val="auto"/>
        </w:rPr>
      </w:pPr>
    </w:p>
    <w:p>
      <w:pPr>
        <w:ind w:left="500" w:hanging="367"/>
        <w:spacing w:after="0"/>
        <w:tabs>
          <w:tab w:leader="none" w:pos="5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proviso;</w:t>
      </w:r>
    </w:p>
    <w:p>
      <w:pPr>
        <w:spacing w:after="0" w:line="174" w:lineRule="exact"/>
        <w:rPr>
          <w:rFonts w:ascii="Courier New" w:cs="Courier New" w:eastAsia="Courier New" w:hAnsi="Courier New"/>
          <w:sz w:val="15"/>
          <w:szCs w:val="15"/>
          <w:color w:val="auto"/>
        </w:rPr>
      </w:pPr>
    </w:p>
    <w:p>
      <w:pPr>
        <w:ind w:left="1300" w:hanging="630"/>
        <w:spacing w:after="0"/>
        <w:tabs>
          <w:tab w:leader="none" w:pos="130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of the Company shall</w:t>
      </w:r>
    </w:p>
    <w:p>
      <w:pPr>
        <w:spacing w:after="0" w:line="3" w:lineRule="exact"/>
        <w:rPr>
          <w:rFonts w:ascii="Courier New" w:cs="Courier New" w:eastAsia="Courier New" w:hAnsi="Courier New"/>
          <w:sz w:val="15"/>
          <w:szCs w:val="15"/>
          <w:color w:val="auto"/>
        </w:rPr>
      </w:pPr>
    </w:p>
    <w:p>
      <w:pPr>
        <w:ind w:left="140" w:right="3339" w:hanging="7"/>
        <w:spacing w:after="0" w:line="241" w:lineRule="auto"/>
        <w:tabs>
          <w:tab w:leader="none" w:pos="49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dividend or otherwise, distribute to all holders of its Common Stock cash in (or fix any record date for any such distribution), or (y) repurchase or reacquire</w:t>
      </w:r>
    </w:p>
    <w:p>
      <w:pPr>
        <w:spacing w:after="0" w:line="34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35" w:right="1440" w:bottom="1440" w:gutter="0" w:footer="0" w:header="0"/>
        </w:sectPr>
      </w:pPr>
    </w:p>
    <w:bookmarkStart w:id="108" w:name="page109"/>
    <w:bookmarkEnd w:id="108"/>
    <w:p>
      <w:pPr>
        <w:ind w:left="140" w:right="3079"/>
        <w:spacing w:after="0" w:line="242" w:lineRule="auto"/>
        <w:rPr>
          <w:sz w:val="20"/>
          <w:szCs w:val="20"/>
          <w:color w:val="auto"/>
        </w:rPr>
      </w:pPr>
      <w:r>
        <w:rPr>
          <w:rFonts w:ascii="Courier New" w:cs="Courier New" w:eastAsia="Courier New" w:hAnsi="Courier New"/>
          <w:sz w:val="15"/>
          <w:szCs w:val="15"/>
          <w:color w:val="auto"/>
        </w:rPr>
        <w:t>shares of its Common Stock for, in either case, an aggregate amount that, combined with (1) the aggregate amount of any other such distributions to all holders of its Common Stock made exclusively in cash after the Issuance Date and within the 12 months preceding the date of payment of such distribution, and in respect of which no adjustment pursuant to this clause (v) has been made, (2) 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date of payment of such distribution or making of such repurchase or reacquisition, as the case may be, and in respect of which no adjustment pursuant to this clause (v) has been made, and (3) the aggregate of any cash plus the fair market value (as determined in good faith by a resolution of the Board of Directors of the Company) of consideration payable in respect of any Tender Offer by the Company or any of its subsidiaries for all or any portion of the Common Stock concluded within the 12 months preceding the date of payment of such distribution or completion of such repurchase or reacquisition, as the case may be, and in respect of which no adjustment pursuant to clause (vi) of this proviso has been made (such aggregate amount combined with the amounts in clauses (1), (2) and (3) above being the "Combined Amount"), exceeds 10% of the product of the Market Price (determined without regard to this proviso) for any day in such Measurement Period or such other period which day is prior to the earlier of (A) the record date with respect to such distribution and (B) the date on which ex-dividend trading in the Common Stock with respect to such distribution begins or the date of such repurchase or reacquisition, as the case may be, times the number of shares of Common Stock outstanding on such date, then, and in each such case, the Market Price for each such day shall be reduced so that the same shall equal the price determined by multiplying the Market Price (determined without regard to this proviso) for such day by a fraction (i) the numerator of which shall be equal to the Market Price (determined without regard to this proviso) for such day less an amount equal to the quotient of (x) the excess of such Combined Amount over such 10% and (y) the number of shares of Common Stock outstanding on such day and (ii) the denominator of which shall be equal to the Market Price (determined without regard to this proviso) for such day; or</w:t>
      </w:r>
    </w:p>
    <w:p>
      <w:pPr>
        <w:spacing w:after="0" w:line="202" w:lineRule="exact"/>
        <w:rPr>
          <w:sz w:val="20"/>
          <w:szCs w:val="20"/>
          <w:color w:val="auto"/>
        </w:rPr>
      </w:pPr>
    </w:p>
    <w:p>
      <w:pPr>
        <w:ind w:left="140" w:right="3079" w:firstLine="530"/>
        <w:spacing w:after="0" w:line="242" w:lineRule="auto"/>
        <w:tabs>
          <w:tab w:leader="none" w:pos="1303"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Offer made by the Company or any of its subsidiaries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in good faith by resolution of the Board of Directors of the Company) that combined together with (1) the aggregate of the cash plus the fair market value (as determined in good faith by a resolution of the Board of Directors of the Company), as of the expiration of such Tender Offer, of consideration payable in respect of any other</w:t>
      </w:r>
    </w:p>
    <w:p>
      <w:pPr>
        <w:spacing w:after="0" w:line="35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635" w:right="1440" w:bottom="1440" w:gutter="0" w:footer="0" w:header="0"/>
        </w:sectPr>
      </w:pPr>
    </w:p>
    <w:bookmarkStart w:id="109" w:name="page110"/>
    <w:bookmarkEnd w:id="109"/>
    <w:p>
      <w:pPr>
        <w:ind w:left="1340" w:right="3159"/>
        <w:spacing w:after="0" w:line="260" w:lineRule="auto"/>
        <w:rPr>
          <w:sz w:val="20"/>
          <w:szCs w:val="20"/>
          <w:color w:val="auto"/>
        </w:rPr>
      </w:pPr>
      <w:r>
        <w:rPr>
          <w:rFonts w:ascii="Courier New" w:cs="Courier New" w:eastAsia="Courier New" w:hAnsi="Courier New"/>
          <w:sz w:val="14"/>
          <w:szCs w:val="14"/>
          <w:color w:val="auto"/>
        </w:rPr>
        <w:t>Tender Offers, by the Company or any of its subsidiaries for all or any portion of the Common Stock expiring within the 12 months preceding the expiration of such Tender Offer and in respect of which no adjustment pursuant to this clause (vi) has been made,</w:t>
      </w:r>
    </w:p>
    <w:p>
      <w:pPr>
        <w:spacing w:after="0" w:line="1" w:lineRule="exact"/>
        <w:rPr>
          <w:sz w:val="20"/>
          <w:szCs w:val="20"/>
          <w:color w:val="auto"/>
        </w:rPr>
      </w:pPr>
    </w:p>
    <w:p>
      <w:pPr>
        <w:ind w:left="1340" w:right="3079" w:hanging="7"/>
        <w:spacing w:after="0" w:line="260" w:lineRule="auto"/>
        <w:tabs>
          <w:tab w:leader="none" w:pos="1698"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any cash plus the fair market value (as determined in good faith by a resolution of the Board of Directors of the Company) of consideration paid in respect of any repurchase or other reacquisition by the Company or any subsidiary of the Company of any shares of Common Stock made after the Issuance Date and within the 12 months preceding the expiration of such Tender Offer and in respect of which no adjustment pursuant to clause (v) of this proviso has been made, and (3) the aggregate amount of any distributions to all holders of Common Stock made exclusively in cash within 12 months preceding the expiration of such Tender Offer and in respect of which no adjustment pursuant to clause (v) of this proviso has been made, exceeds 10% of the product of the Market Price (determined without regard to this proviso) for any day in such period times the number of shares of Common Stock outstanding on such day, then, and in each such case, the Market Price for such day shall be reduced so that the same shall equal the price determined by multiplying the Market Price (determined without regard to this proviso) for such day by a fraction, the numerator of which shall be the number of shares of Common Stock outstanding on such day multiplied by the Market Price (determined without regard to this proviso) for such day and the denominator of which shall be the sum of (x) the fair market value (determined as aforesaid) of the aggregate consideration payable to stockholders based on the acceptance (up to any maximum specified in the terms of the Tender Offer) of all shares validly tendered and not withdrawn as of the last time tenders could have been made pursuant to such Tender Offer (the "Expiration Time") (the shares deemed so accepted, up to any such maximum, being referred to as the "Purchased Shares") and (y) the product of the number of shares of Common Stock outstanding (less any Purchased Shares) on such day times the Market Price (determined without regard to this proviso) of the Common Stock on the Trading Day next succeeding the Expiration Time. If the application of this clause (vi) to any Tender Offer would result in an increase in the Market Price (determined without regard to this proviso) for any trade, no adjustment shall be made for such Tender Offer under this clause (vi) for such day.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159" w:firstLine="1342"/>
        <w:spacing w:after="0" w:line="241" w:lineRule="auto"/>
        <w:rPr>
          <w:sz w:val="20"/>
          <w:szCs w:val="20"/>
          <w:color w:val="auto"/>
        </w:rPr>
      </w:pPr>
      <w:r>
        <w:rPr>
          <w:rFonts w:ascii="Courier New" w:cs="Courier New" w:eastAsia="Courier New" w:hAnsi="Courier New"/>
          <w:sz w:val="15"/>
          <w:szCs w:val="15"/>
          <w:color w:val="auto"/>
        </w:rPr>
        <w:t>"Measurement Period" means, with respect to any Adjustment Date, the period of 30 consecutive Trading Days ending on the Trading Day prior to such Adjustment Date.</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"Nasdaq" means the Nasdaq National Market.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"Nasdaq SmallCap" means the Nasdaq SmallCap Market.</w:t>
      </w:r>
    </w:p>
    <w:p>
      <w:pPr>
        <w:spacing w:after="0" w:line="176"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"1934 Act" means the Securities Exchange Act of 1934, as amended.</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"1933 Act" means the Securities Act of 1933, as amended.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4" w:right="1440" w:bottom="1440" w:gutter="0" w:footer="0" w:header="0"/>
        </w:sectPr>
      </w:pPr>
    </w:p>
    <w:bookmarkStart w:id="110" w:name="page111"/>
    <w:bookmarkEnd w:id="110"/>
    <w:p>
      <w:pPr>
        <w:ind w:right="3079" w:firstLine="1342"/>
        <w:spacing w:after="0" w:line="242" w:lineRule="auto"/>
        <w:rPr>
          <w:sz w:val="20"/>
          <w:szCs w:val="20"/>
          <w:color w:val="auto"/>
        </w:rPr>
      </w:pPr>
      <w:r>
        <w:rPr>
          <w:rFonts w:ascii="Courier New" w:cs="Courier New" w:eastAsia="Courier New" w:hAnsi="Courier New"/>
          <w:sz w:val="15"/>
          <w:szCs w:val="15"/>
          <w:color w:val="auto"/>
        </w:rPr>
        <w:t>"Other Securities" refers to any stock (other than Common Stock) and other securities of the Company or any other person (corporate or otherwise) which the Holder at any time shall be entitled to receive, or shall have received, on the exercise of this Warrant, in lieu of or in addition to Common Stock, or which at any time shall be issuable or shall have been issued in exchange for or in replacement of Common Stock or Other Securities pursuant to Section 4.</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"Purchase Price" means the greater of (x) $.01 per share or (y)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 value per share of the Common Stock.</w:t>
      </w:r>
    </w:p>
    <w:p>
      <w:pPr>
        <w:spacing w:after="0" w:line="176" w:lineRule="exact"/>
        <w:rPr>
          <w:sz w:val="20"/>
          <w:szCs w:val="20"/>
          <w:color w:val="auto"/>
        </w:rPr>
      </w:pPr>
    </w:p>
    <w:p>
      <w:pPr>
        <w:ind w:right="3259" w:firstLine="1342"/>
        <w:spacing w:after="0" w:line="241" w:lineRule="auto"/>
        <w:rPr>
          <w:sz w:val="20"/>
          <w:szCs w:val="20"/>
          <w:color w:val="auto"/>
        </w:rPr>
      </w:pPr>
      <w:r>
        <w:rPr>
          <w:rFonts w:ascii="Courier New" w:cs="Courier New" w:eastAsia="Courier New" w:hAnsi="Courier New"/>
          <w:sz w:val="15"/>
          <w:szCs w:val="15"/>
          <w:color w:val="auto"/>
        </w:rPr>
        <w:t>"Purchased Securities" as of any date means (1) the Initial Shares which are then held by the Holder, (2) the Class A Warrant Shares which are then held by the Holder and (3) this Warrant.</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"Registration Rights Agreement" means the Registration Rights Agreement, dated as of the date hereof, by and between the Company and the original Holder of this Warrant, as amended from time to time in accordance with its terms.</w:t>
      </w:r>
    </w:p>
    <w:p>
      <w:pPr>
        <w:spacing w:after="0" w:line="175" w:lineRule="exact"/>
        <w:rPr>
          <w:sz w:val="20"/>
          <w:szCs w:val="20"/>
          <w:color w:val="auto"/>
        </w:rPr>
      </w:pPr>
    </w:p>
    <w:p>
      <w:pPr>
        <w:ind w:right="3259" w:firstLine="1342"/>
        <w:spacing w:after="0"/>
        <w:rPr>
          <w:sz w:val="20"/>
          <w:szCs w:val="20"/>
          <w:color w:val="auto"/>
        </w:rPr>
      </w:pPr>
      <w:r>
        <w:rPr>
          <w:rFonts w:ascii="Courier New" w:cs="Courier New" w:eastAsia="Courier New" w:hAnsi="Courier New"/>
          <w:sz w:val="15"/>
          <w:szCs w:val="15"/>
          <w:color w:val="auto"/>
        </w:rPr>
        <w:t>"Registration Statement" shall have the meaning provided in the Registration Rights Agreement.</w:t>
      </w:r>
    </w:p>
    <w:p>
      <w:pPr>
        <w:spacing w:after="0" w:line="176" w:lineRule="exact"/>
        <w:rPr>
          <w:sz w:val="20"/>
          <w:szCs w:val="20"/>
          <w:color w:val="auto"/>
        </w:rPr>
      </w:pPr>
    </w:p>
    <w:p>
      <w:pPr>
        <w:ind w:right="3159" w:firstLine="1342"/>
        <w:spacing w:after="0"/>
        <w:rPr>
          <w:sz w:val="20"/>
          <w:szCs w:val="20"/>
          <w:color w:val="auto"/>
        </w:rPr>
      </w:pPr>
      <w:r>
        <w:rPr>
          <w:rFonts w:ascii="Courier New" w:cs="Courier New" w:eastAsia="Courier New" w:hAnsi="Courier New"/>
          <w:sz w:val="15"/>
          <w:szCs w:val="15"/>
          <w:color w:val="auto"/>
        </w:rPr>
        <w:t>"Repurchase Date" means the date of repurchase by the Company of the Securities pursuant to Section 1.4.</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"Repurchase Notice" means a notice given by the Company to the Holder pursuant to Section 1.4(b) exercising the Company's right to repurchase all of the Securities pursuant to Section 1.4(b) which states (1) the number of shares of Common Stock (including shares issuable upon exercise of this Warrant) which are to be repurchased, (2) the Repurchase Price and the formula for determining the same, determined in accordance herewith and (3) the Repurchase Date.</w:t>
      </w:r>
    </w:p>
    <w:p>
      <w:pPr>
        <w:spacing w:after="0" w:line="177"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"Repurchase Price" means, for each share of Common Stock repurchased pursuant to Section 1.4, the product of (x) the arithmetic average of the Market Price on each of the five consecutive Trading Days ending on and including the Adjustment Date following which the Repurchase Notice is given times (y) the Adjustment Factor.</w:t>
      </w:r>
    </w:p>
    <w:p>
      <w:pPr>
        <w:spacing w:after="0" w:line="175"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"Share Limit" means 3,902,081 shares of Common Stock (subject to equitable adjustment from time to time on terms reasonably acceptable to the Holder for stock splits, stock dividends, combinations, recapitalizations, reclassifications, distributions, Tender Offers and similar events occurring after the Issuance Date).</w:t>
      </w:r>
    </w:p>
    <w:p>
      <w:pPr>
        <w:spacing w:after="0" w:line="175"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"Share Limitation Event" means a time at which the Company is unable to issue all shares of Common Stock otherwise required to be issued upon exercise of this Warrant by reason of the restrictions set forth in the Shareholder Approval Rule and the Company has not obtained a waiver thereof.</w:t>
      </w:r>
    </w:p>
    <w:p>
      <w:pPr>
        <w:spacing w:after="0" w:line="175" w:lineRule="exact"/>
        <w:rPr>
          <w:sz w:val="20"/>
          <w:szCs w:val="20"/>
          <w:color w:val="auto"/>
        </w:rPr>
      </w:pPr>
    </w:p>
    <w:p>
      <w:pPr>
        <w:jc w:val="both"/>
        <w:ind w:right="3079" w:firstLine="1342"/>
        <w:spacing w:after="0" w:line="242" w:lineRule="auto"/>
        <w:rPr>
          <w:sz w:val="20"/>
          <w:szCs w:val="20"/>
          <w:color w:val="auto"/>
        </w:rPr>
      </w:pPr>
      <w:r>
        <w:rPr>
          <w:rFonts w:ascii="Courier New" w:cs="Courier New" w:eastAsia="Courier New" w:hAnsi="Courier New"/>
          <w:sz w:val="15"/>
          <w:szCs w:val="15"/>
          <w:color w:val="auto"/>
        </w:rPr>
        <w:t>"Shareholder Approval" shall mean the approval by a majority of the votes cast by the holders of shares of Common Stock (in person or by proxy) at a meeting of the stockholders of the Company (duly convened at which a quorum was present), or a unanimous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11" w:name="page112"/>
    <w:bookmarkEnd w:id="111"/>
    <w:p>
      <w:pPr>
        <w:ind w:left="8" w:right="3079"/>
        <w:spacing w:after="0" w:line="242" w:lineRule="auto"/>
        <w:rPr>
          <w:sz w:val="20"/>
          <w:szCs w:val="20"/>
          <w:color w:val="auto"/>
        </w:rPr>
      </w:pPr>
      <w:r>
        <w:rPr>
          <w:rFonts w:ascii="Courier New" w:cs="Courier New" w:eastAsia="Courier New" w:hAnsi="Courier New"/>
          <w:sz w:val="15"/>
          <w:szCs w:val="15"/>
          <w:color w:val="auto"/>
        </w:rPr>
        <w:t>written consent of holders of shares of Common Stock given without a meeting, of the issuance by the Company of 20% or more of the Common Stock of the Company outstanding on the Issuance Date for less than the greater of the book or market value of such Common Stock, as and to the extent required under the Shareholder Approval Rule.</w:t>
      </w:r>
    </w:p>
    <w:p>
      <w:pPr>
        <w:spacing w:after="0" w:line="175" w:lineRule="exact"/>
        <w:rPr>
          <w:sz w:val="20"/>
          <w:szCs w:val="20"/>
          <w:color w:val="auto"/>
        </w:rPr>
      </w:pPr>
    </w:p>
    <w:p>
      <w:pPr>
        <w:ind w:left="8" w:right="3079" w:firstLine="1342"/>
        <w:spacing w:after="0" w:line="242" w:lineRule="auto"/>
        <w:rPr>
          <w:sz w:val="20"/>
          <w:szCs w:val="20"/>
          <w:color w:val="auto"/>
        </w:rPr>
      </w:pPr>
      <w:r>
        <w:rPr>
          <w:rFonts w:ascii="Courier New" w:cs="Courier New" w:eastAsia="Courier New" w:hAnsi="Courier New"/>
          <w:sz w:val="15"/>
          <w:szCs w:val="15"/>
          <w:color w:val="auto"/>
        </w:rPr>
        <w:t>"Shareholder Approval Rule" means Rule 4460(i)(1)(D) of Nasdaq as in effect from time to time or any successor, replacement or similar rule or regulation of Nasdaq or any other principal securities market on which the Common Stock is listed for trading.</w:t>
      </w:r>
    </w:p>
    <w:p>
      <w:pPr>
        <w:spacing w:after="0" w:line="175" w:lineRule="exact"/>
        <w:rPr>
          <w:sz w:val="20"/>
          <w:szCs w:val="20"/>
          <w:color w:val="auto"/>
        </w:rPr>
      </w:pPr>
    </w:p>
    <w:p>
      <w:pPr>
        <w:jc w:val="both"/>
        <w:ind w:left="8" w:right="3079" w:firstLine="1342"/>
        <w:spacing w:after="0" w:line="241" w:lineRule="auto"/>
        <w:rPr>
          <w:sz w:val="20"/>
          <w:szCs w:val="20"/>
          <w:color w:val="auto"/>
        </w:rPr>
      </w:pPr>
      <w:r>
        <w:rPr>
          <w:rFonts w:ascii="Courier New" w:cs="Courier New" w:eastAsia="Courier New" w:hAnsi="Courier New"/>
          <w:sz w:val="15"/>
          <w:szCs w:val="15"/>
          <w:color w:val="auto"/>
        </w:rPr>
        <w:t>"Specified Number" means the number of shares of Common Stock for which this Warrant is exercisable from time to time as determined in accordance with Section 1.3.</w:t>
      </w:r>
    </w:p>
    <w:p>
      <w:pPr>
        <w:spacing w:after="0" w:line="176" w:lineRule="exact"/>
        <w:rPr>
          <w:sz w:val="20"/>
          <w:szCs w:val="20"/>
          <w:color w:val="auto"/>
        </w:rPr>
      </w:pPr>
    </w:p>
    <w:p>
      <w:pPr>
        <w:jc w:val="both"/>
        <w:ind w:left="8" w:right="3079" w:firstLine="1342"/>
        <w:spacing w:after="0" w:line="241" w:lineRule="auto"/>
        <w:rPr>
          <w:sz w:val="20"/>
          <w:szCs w:val="20"/>
          <w:color w:val="auto"/>
        </w:rPr>
      </w:pPr>
      <w:r>
        <w:rPr>
          <w:rFonts w:ascii="Courier New" w:cs="Courier New" w:eastAsia="Courier New" w:hAnsi="Courier New"/>
          <w:sz w:val="15"/>
          <w:szCs w:val="15"/>
          <w:color w:val="auto"/>
        </w:rPr>
        <w:t>"Subscription Agreement" means the Subscription Agreement, dated as of July [ ], 2000, by and between the Company and the original Holder of this Warrant, as amended from time to time in accordance with its terms.</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"Tender Offer" means a tender offer or exchange offer.</w:t>
      </w:r>
    </w:p>
    <w:p>
      <w:pPr>
        <w:spacing w:after="0" w:line="176" w:lineRule="exact"/>
        <w:rPr>
          <w:sz w:val="20"/>
          <w:szCs w:val="20"/>
          <w:color w:val="auto"/>
        </w:rPr>
      </w:pPr>
    </w:p>
    <w:p>
      <w:pPr>
        <w:ind w:left="8" w:right="3159" w:firstLine="1342"/>
        <w:spacing w:after="0" w:line="267" w:lineRule="auto"/>
        <w:rPr>
          <w:sz w:val="20"/>
          <w:szCs w:val="20"/>
          <w:color w:val="auto"/>
        </w:rPr>
      </w:pPr>
      <w:r>
        <w:rPr>
          <w:rFonts w:ascii="Courier New" w:cs="Courier New" w:eastAsia="Courier New" w:hAnsi="Courier New"/>
          <w:sz w:val="14"/>
          <w:szCs w:val="14"/>
          <w:color w:val="auto"/>
        </w:rPr>
        <w:t>"Total Common Shares" as of any date means the sum of (1) the number of Initial Shares plus (2) the number of Class A Warrant Shares plus (3) the number of shares of Common Stock issued pursuant to the Callable Warrant.</w:t>
      </w:r>
    </w:p>
    <w:p>
      <w:pPr>
        <w:spacing w:after="0" w:line="159" w:lineRule="exact"/>
        <w:rPr>
          <w:sz w:val="20"/>
          <w:szCs w:val="20"/>
          <w:color w:val="auto"/>
        </w:rPr>
      </w:pPr>
    </w:p>
    <w:p>
      <w:pPr>
        <w:ind w:left="8" w:right="3599" w:firstLine="1342"/>
        <w:spacing w:after="0" w:line="274" w:lineRule="auto"/>
        <w:rPr>
          <w:sz w:val="20"/>
          <w:szCs w:val="20"/>
          <w:color w:val="auto"/>
        </w:rPr>
      </w:pPr>
      <w:r>
        <w:rPr>
          <w:rFonts w:ascii="Courier New" w:cs="Courier New" w:eastAsia="Courier New" w:hAnsi="Courier New"/>
          <w:sz w:val="14"/>
          <w:szCs w:val="14"/>
          <w:color w:val="auto"/>
        </w:rPr>
        <w:t>"Trading Day" means a day on which the principal securities market for the Common Stock is open for general trading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968" w:hanging="627"/>
        <w:spacing w:after="0"/>
        <w:tabs>
          <w:tab w:leader="none" w:pos="196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6" w:lineRule="exact"/>
        <w:rPr>
          <w:sz w:val="20"/>
          <w:szCs w:val="20"/>
          <w:color w:val="auto"/>
        </w:rPr>
      </w:pPr>
    </w:p>
    <w:p>
      <w:pPr>
        <w:ind w:left="8" w:right="3079" w:firstLine="1342"/>
        <w:spacing w:after="0" w:line="260" w:lineRule="auto"/>
        <w:rPr>
          <w:sz w:val="20"/>
          <w:szCs w:val="20"/>
          <w:color w:val="auto"/>
        </w:rPr>
      </w:pPr>
      <w:r>
        <w:rPr>
          <w:rFonts w:ascii="Courier New" w:cs="Courier New" w:eastAsia="Courier New" w:hAnsi="Courier New"/>
          <w:sz w:val="14"/>
          <w:szCs w:val="14"/>
          <w:color w:val="auto"/>
        </w:rPr>
        <w:t>1.1 EXERCISE. Subject to the limitations on exercises in Sections 1.2 and 1.4(a), this Warrant may be exercised by the Holder hereof at any time or from time to time during the Exercise Period by delivery of the subscription form annexed hereto (duly executed by the Holder) to the Company and by making payment, in cash or by certified or official bank check payable to the order of the Company, in the amount obtained by multiplying (i) the number of shares of Common Stock designated by the Holder in the subscription form by</w:t>
      </w:r>
    </w:p>
    <w:p>
      <w:pPr>
        <w:spacing w:after="0" w:line="1" w:lineRule="exact"/>
        <w:rPr>
          <w:sz w:val="20"/>
          <w:szCs w:val="20"/>
          <w:color w:val="auto"/>
        </w:rPr>
      </w:pPr>
    </w:p>
    <w:p>
      <w:pPr>
        <w:ind w:left="8" w:right="3079" w:hanging="8"/>
        <w:spacing w:after="0" w:line="242" w:lineRule="auto"/>
        <w:tabs>
          <w:tab w:leader="none" w:pos="45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If at the request of the Company the subscription form is delivered to the Company's transfer agent for the Common Stock, the Holder shall provide a copy of the subscription form to the Company at the time of exercise and the Company will confirm the exercise instructions given therein by notice to the Company's transfer agent within one Trading Day after receiving such subscription form. Upon each exercise of this Warrant, whether by cash or cashless exercise, the Holder shall not be required to surrender this Warrant to the Company unless the Holder has no further rights to purchase shares of Common Stock hereunder. The Holder and the Company shall maintain records showing the number of shares purchased in connection with each exercise of this Warrant and the dates of such exercises or shall use such other method, satisfactory to the Holder and the Company, so as to not require physical surrender of this Warrant upon each such exercise.</w:t>
      </w:r>
    </w:p>
    <w:p>
      <w:pPr>
        <w:spacing w:after="0" w:line="180" w:lineRule="exact"/>
        <w:rPr>
          <w:rFonts w:ascii="Courier New" w:cs="Courier New" w:eastAsia="Courier New" w:hAnsi="Courier New"/>
          <w:sz w:val="15"/>
          <w:szCs w:val="15"/>
          <w:color w:val="auto"/>
        </w:rPr>
      </w:pPr>
    </w:p>
    <w:p>
      <w:pPr>
        <w:ind w:left="8" w:right="3159" w:firstLine="1244"/>
        <w:spacing w:after="0" w:line="242" w:lineRule="auto"/>
        <w:tabs>
          <w:tab w:leader="none" w:pos="1618"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Subject to the limitations on exercises in Sections 1.2 and 1.4(a), during the Exercise Period and at any time after the earlier to occur of the SEC Effective Date (as defined in the Registration Rights Agreement) and the date the initial registration</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4" w:right="1440" w:bottom="1440" w:gutter="0" w:footer="0" w:header="0"/>
        </w:sectPr>
      </w:pPr>
    </w:p>
    <w:bookmarkStart w:id="112" w:name="page113"/>
    <w:bookmarkEnd w:id="112"/>
    <w:p>
      <w:pPr>
        <w:ind w:right="3079"/>
        <w:spacing w:after="0" w:line="242" w:lineRule="auto"/>
        <w:rPr>
          <w:sz w:val="20"/>
          <w:szCs w:val="20"/>
          <w:color w:val="auto"/>
        </w:rPr>
      </w:pPr>
      <w:r>
        <w:rPr>
          <w:rFonts w:ascii="Courier New" w:cs="Courier New" w:eastAsia="Courier New" w:hAnsi="Courier New"/>
          <w:sz w:val="15"/>
          <w:szCs w:val="15"/>
          <w:color w:val="auto"/>
        </w:rPr>
        <w:t>statement filed pursuant to the Registration Rights Agreement is declared effective by the Commission, when a registration statement covering the resale of the Common Stock issuable hereunder and naming the Holder as a selling stockholder thereunder is not then effective, the Holder may surrender this Warrant to the Company together with a notice of cashless exercise, in which event the Company shall issue to the Holder the number of shares of Common Stock determined as follows:</w:t>
      </w:r>
    </w:p>
    <w:p>
      <w:pPr>
        <w:spacing w:after="0" w:line="347"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X = Y [(A-B)/A]</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where:</w:t>
      </w:r>
    </w:p>
    <w:p>
      <w:pPr>
        <w:spacing w:after="0" w:line="4" w:lineRule="exact"/>
        <w:rPr>
          <w:sz w:val="20"/>
          <w:szCs w:val="20"/>
          <w:color w:val="auto"/>
        </w:rPr>
      </w:pPr>
    </w:p>
    <w:p>
      <w:pPr>
        <w:ind w:left="1340" w:right="3259" w:firstLine="626"/>
        <w:spacing w:after="0"/>
        <w:rPr>
          <w:sz w:val="20"/>
          <w:szCs w:val="20"/>
          <w:color w:val="auto"/>
        </w:rPr>
      </w:pPr>
      <w:r>
        <w:rPr>
          <w:rFonts w:ascii="Courier New" w:cs="Courier New" w:eastAsia="Courier New" w:hAnsi="Courier New"/>
          <w:sz w:val="15"/>
          <w:szCs w:val="15"/>
          <w:color w:val="auto"/>
        </w:rPr>
        <w:t>X = the number of shares of Common Stock to be issued to the Holder.</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Y = the number of shares of Common Stock with respect to</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which this Warrant is being exercised.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 = the average of the closing sale prices of the Common</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Stock for the five (5) trading days immediately prior to</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(but not including) the date of exercise.</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B = the Purchase Price.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shares of Common Stock issued in a cashless exercise transaction shall be deemed to have been acquired by the Holder, and the holding period for such shares shall be deemed to have been commenced, on the issue date of this Warrant.</w:t>
      </w:r>
    </w:p>
    <w:p>
      <w:pPr>
        <w:spacing w:after="0" w:line="175" w:lineRule="exact"/>
        <w:rPr>
          <w:sz w:val="20"/>
          <w:szCs w:val="20"/>
          <w:color w:val="auto"/>
        </w:rPr>
      </w:pPr>
    </w:p>
    <w:p>
      <w:pPr>
        <w:ind w:right="3079" w:firstLine="1244"/>
        <w:spacing w:after="0" w:line="242" w:lineRule="auto"/>
        <w:tabs>
          <w:tab w:leader="none" w:pos="161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delivering physical certificates representing the shares of Common Stock issuable upon exercise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shares of Common Stock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78" w:lineRule="exact"/>
        <w:rPr>
          <w:sz w:val="20"/>
          <w:szCs w:val="20"/>
          <w:color w:val="auto"/>
        </w:rPr>
      </w:pPr>
    </w:p>
    <w:p>
      <w:pPr>
        <w:ind w:left="1340"/>
        <w:spacing w:after="0"/>
        <w:tabs>
          <w:tab w:leader="none" w:pos="194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CERTAIN EXERCISE RESTRICTIONS.</w:t>
      </w:r>
    </w:p>
    <w:p>
      <w:pPr>
        <w:spacing w:after="0" w:line="176" w:lineRule="exact"/>
        <w:rPr>
          <w:sz w:val="20"/>
          <w:szCs w:val="20"/>
          <w:color w:val="auto"/>
        </w:rPr>
      </w:pPr>
    </w:p>
    <w:p>
      <w:pPr>
        <w:ind w:right="3079" w:firstLine="1333"/>
        <w:spacing w:after="0" w:line="242" w:lineRule="auto"/>
        <w:tabs>
          <w:tab w:leader="none" w:pos="1789"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limitations on the Holder's right to convert, exercise or</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13" w:name="page114"/>
    <w:bookmarkEnd w:id="113"/>
    <w:p>
      <w:pPr>
        <w:ind w:right="3079"/>
        <w:spacing w:after="0" w:line="242" w:lineRule="auto"/>
        <w:rPr>
          <w:sz w:val="20"/>
          <w:szCs w:val="20"/>
          <w:color w:val="auto"/>
        </w:rPr>
      </w:pPr>
      <w:r>
        <w:rPr>
          <w:rFonts w:ascii="Courier New" w:cs="Courier New" w:eastAsia="Courier New" w:hAnsi="Courier New"/>
          <w:sz w:val="15"/>
          <w:szCs w:val="15"/>
          <w:color w:val="auto"/>
        </w:rPr>
        <w:t>purchase similar to the limitation set forth herein) by the Holder's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Common Stock (the "Restricted Ownership Percentage"). Each Holder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50% of the Company's outstanding Common Stock.</w:t>
      </w:r>
    </w:p>
    <w:p>
      <w:pPr>
        <w:spacing w:after="0" w:line="182" w:lineRule="exact"/>
        <w:rPr>
          <w:sz w:val="20"/>
          <w:szCs w:val="20"/>
          <w:color w:val="auto"/>
        </w:rPr>
      </w:pPr>
    </w:p>
    <w:p>
      <w:pPr>
        <w:ind w:right="3079" w:firstLine="1333"/>
        <w:spacing w:after="0" w:line="242" w:lineRule="auto"/>
        <w:tabs>
          <w:tab w:leader="none" w:pos="1789"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covenants at all times on each day (each such day being referred to as a "Covenant Day") as follows: during the balance of such Covenant Day and the succeeding sixty-one (61) days (the balance of such Covenant Day and the succeeding 61 days being referred to as the "Covenant Period") such Holder will not acquire shares of Common Stock pursuant to any right (including exercise of this Warrant) existing at the commencement of the Covenant Period to the extent the number of shares so acquired by such Holder and its Aggregation Parties (ignoring all dispositions) would exceed:</w:t>
      </w:r>
    </w:p>
    <w:p>
      <w:pPr>
        <w:spacing w:after="0" w:line="177" w:lineRule="exact"/>
        <w:rPr>
          <w:sz w:val="20"/>
          <w:szCs w:val="20"/>
          <w:color w:val="auto"/>
        </w:rPr>
      </w:pPr>
    </w:p>
    <w:p>
      <w:pPr>
        <w:ind w:left="1700" w:right="3339" w:hanging="367"/>
        <w:spacing w:after="0" w:line="241" w:lineRule="auto"/>
        <w:tabs>
          <w:tab w:leader="none" w:pos="1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MINUS</w:t>
      </w:r>
    </w:p>
    <w:p>
      <w:pPr>
        <w:spacing w:after="0" w:line="176" w:lineRule="exact"/>
        <w:rPr>
          <w:sz w:val="20"/>
          <w:szCs w:val="20"/>
          <w:color w:val="auto"/>
        </w:rPr>
      </w:pPr>
    </w:p>
    <w:p>
      <w:pPr>
        <w:ind w:left="1700" w:right="3439" w:hanging="367"/>
        <w:spacing w:after="0" w:line="241" w:lineRule="auto"/>
        <w:tabs>
          <w:tab w:leader="none" w:pos="17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owned by such Holder and its Aggregation Parties at the commencement of the Covenant Period.</w:t>
      </w:r>
    </w:p>
    <w:p>
      <w:pPr>
        <w:spacing w:after="0" w:line="176"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75" w:lineRule="exact"/>
        <w:rPr>
          <w:sz w:val="20"/>
          <w:szCs w:val="20"/>
          <w:color w:val="auto"/>
        </w:rPr>
      </w:pPr>
    </w:p>
    <w:p>
      <w:pPr>
        <w:ind w:right="3259" w:firstLine="1342"/>
        <w:spacing w:after="0" w:line="242"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limits shall be suspended to the extent necessary until such time, if any, as shares of Common Stock may be issued in compliance with such restrictions.</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14" w:name="page115"/>
    <w:bookmarkEnd w:id="114"/>
    <w:p>
      <w:pPr>
        <w:ind w:right="3339" w:firstLine="1342"/>
        <w:spacing w:after="0"/>
        <w:rPr>
          <w:sz w:val="20"/>
          <w:szCs w:val="20"/>
          <w:color w:val="auto"/>
        </w:rPr>
      </w:pPr>
      <w:r>
        <w:rPr>
          <w:rFonts w:ascii="Courier New" w:cs="Courier New" w:eastAsia="Courier New" w:hAnsi="Courier New"/>
          <w:sz w:val="15"/>
          <w:szCs w:val="15"/>
          <w:color w:val="auto"/>
        </w:rPr>
        <w:t>1.3 DETERMINATION OF SPECIFIED NUMBER. (a) On each Adjustment Date, the number of Adjustment Shares shall be computed as follows: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IF CP LESS THAN OR EQUAL TO ICP, and</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CP &lt; $2.25 and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IF CP GREATER THAN OR EQUAL TO MPP, then</w:t>
      </w:r>
    </w:p>
    <w:p>
      <w:pPr>
        <w:spacing w:after="0" w:line="174" w:lineRule="exact"/>
        <w:rPr>
          <w:sz w:val="20"/>
          <w:szCs w:val="20"/>
          <w:color w:val="auto"/>
        </w:rPr>
      </w:pPr>
    </w:p>
    <w:p>
      <w:pPr>
        <w:ind w:left="2040"/>
        <w:spacing w:after="0"/>
        <w:tabs>
          <w:tab w:leader="none" w:pos="2660" w:val="left"/>
        </w:tabs>
        <w:rPr>
          <w:sz w:val="20"/>
          <w:szCs w:val="20"/>
          <w:color w:val="auto"/>
        </w:rPr>
      </w:pPr>
      <w:r>
        <w:rPr>
          <w:rFonts w:ascii="Courier New" w:cs="Courier New" w:eastAsia="Courier New" w:hAnsi="Courier New"/>
          <w:sz w:val="15"/>
          <w:szCs w:val="15"/>
          <w:color w:val="auto"/>
        </w:rPr>
        <w:t>CS =</w:t>
      </w:r>
      <w:r>
        <w:rPr>
          <w:sz w:val="20"/>
          <w:szCs w:val="20"/>
          <w:color w:val="auto"/>
        </w:rPr>
        <w:tab/>
      </w:r>
      <w:r>
        <w:rPr>
          <w:rFonts w:ascii="Courier New" w:cs="Courier New" w:eastAsia="Courier New" w:hAnsi="Courier New"/>
          <w:sz w:val="14"/>
          <w:szCs w:val="14"/>
          <w:color w:val="auto"/>
        </w:rPr>
        <w:t>PPSH x 1.015, and</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BSH = CS - FSH, and</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if the Company elects to pay Holder B$ = BSH x CP,</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AS = CS - BSH - PPSH</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or else AS = CS - PPSH</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but IF CP &lt; MPP, then</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CS = (MPP x PPSH x (1.015)/CP</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BSH = CS - FSH, and</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if the Company elects to pay Holder B$ = BSH x CP,</w:t>
      </w:r>
    </w:p>
    <w:p>
      <w:pPr>
        <w:spacing w:after="0" w:line="18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AS = CS - BSH - PPSH</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or else AS = CS -PPSH.</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CP &lt; ICP and IF CP GREATER THAN OR EQUAL TO $2.25 and</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IF CP GREATER THAN OR EQUAL TO MPP, then</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AS = PPSH x .015</w:t>
      </w:r>
    </w:p>
    <w:p>
      <w:pPr>
        <w:spacing w:after="0" w:line="176" w:lineRule="exact"/>
        <w:rPr>
          <w:sz w:val="20"/>
          <w:szCs w:val="20"/>
          <w:color w:val="auto"/>
        </w:rPr>
      </w:pPr>
    </w:p>
    <w:p>
      <w:pPr>
        <w:ind w:left="180" w:right="4139" w:firstLine="1878"/>
        <w:spacing w:after="0" w:line="483" w:lineRule="auto"/>
        <w:rPr>
          <w:sz w:val="20"/>
          <w:szCs w:val="20"/>
          <w:color w:val="auto"/>
        </w:rPr>
      </w:pPr>
      <w:r>
        <w:rPr>
          <w:rFonts w:ascii="Courier New" w:cs="Courier New" w:eastAsia="Courier New" w:hAnsi="Courier New"/>
          <w:sz w:val="15"/>
          <w:szCs w:val="15"/>
          <w:color w:val="auto"/>
        </w:rPr>
        <w:t>or else AS = [(MPP x PPSH x 1.015)/CP] - PPSH IF CP &gt; ICP, then AS=0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7" w:right="1440" w:bottom="1440" w:gutter="0" w:footer="0" w:header="0"/>
        </w:sectPr>
      </w:pPr>
    </w:p>
    <w:bookmarkStart w:id="115" w:name="page116"/>
    <w:bookmarkEnd w:id="115"/>
    <w:tbl>
      <w:tblPr>
        <w:tblLayout w:type="fixed"/>
        <w:tblInd w:w="1348"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where:</w:t>
            </w:r>
          </w:p>
        </w:tc>
        <w:tc>
          <w:tcPr>
            <w:tcW w:w="4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AS</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Adjustment Shares</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CS</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Initially calculated Adjustment Shares</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$4,000,000</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ICP</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$4.33125</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BSH</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Buyout Shares: The number of shares for which the</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w w:val="98"/>
              </w:rPr>
              <w:t>Company may, in lieu of having the Specified Number</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increase by the applicable number of Adjustment</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Shares, elect to pay cash to the Holder in the</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amount of the Buyout.</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FSH</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Floor Shares (the number of shares that are not</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subject to the Company's election to buyout). The</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initial value of FSH shall be set to FSH =</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1,777,778. FSH shall be recalculated at each</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Adjustment Date by multiplying the value of FSH as</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of the immediately preceding Adjustment Date by</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(1 - (SHX/PPSH))</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Buyout Amount.</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SHX</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the number of Warrant shares exercised during the</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current Adjustment Period.</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CP</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the Average Market Price as of the then-current</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Adjustment Date.</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PPSH</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the number of Common Shares Held as of the</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immediately preceding Adjustment Date.</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MPP</w:t>
            </w:r>
          </w:p>
        </w:tc>
        <w:tc>
          <w:tcPr>
            <w:tcW w:w="4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the lesser of ICP or the lowest Average Market</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Price as of any prior Adjustment Date (or ICP on</w:t>
            </w:r>
          </w:p>
        </w:tc>
      </w:tr>
      <w:tr>
        <w:trPr>
          <w:trHeight w:val="172"/>
        </w:trPr>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20" w:type="dxa"/>
            <w:vAlign w:val="bottom"/>
          </w:tcPr>
          <w:p>
            <w:pPr>
              <w:ind w:left="260"/>
              <w:spacing w:after="0"/>
              <w:rPr>
                <w:sz w:val="20"/>
                <w:szCs w:val="20"/>
                <w:color w:val="auto"/>
              </w:rPr>
            </w:pPr>
            <w:r>
              <w:rPr>
                <w:rFonts w:ascii="Courier New" w:cs="Courier New" w:eastAsia="Courier New" w:hAnsi="Courier New"/>
                <w:sz w:val="15"/>
                <w:szCs w:val="15"/>
                <w:color w:val="auto"/>
              </w:rPr>
              <w:t>the first Adjustment Date).</w:t>
            </w:r>
          </w:p>
        </w:tc>
      </w:tr>
    </w:tbl>
    <w:p>
      <w:pPr>
        <w:spacing w:after="0" w:line="176" w:lineRule="exact"/>
        <w:rPr>
          <w:sz w:val="20"/>
          <w:szCs w:val="20"/>
          <w:color w:val="auto"/>
        </w:rPr>
      </w:pPr>
    </w:p>
    <w:p>
      <w:pPr>
        <w:ind w:left="8" w:right="3079" w:firstLine="1342"/>
        <w:spacing w:after="0" w:line="260" w:lineRule="auto"/>
        <w:rPr>
          <w:sz w:val="20"/>
          <w:szCs w:val="20"/>
          <w:color w:val="auto"/>
        </w:rPr>
      </w:pPr>
      <w:r>
        <w:rPr>
          <w:rFonts w:ascii="Courier New" w:cs="Courier New" w:eastAsia="Courier New" w:hAnsi="Courier New"/>
          <w:sz w:val="14"/>
          <w:szCs w:val="14"/>
          <w:color w:val="auto"/>
        </w:rPr>
        <w:t>As indicated above, if as of any Adjustment Date the Average Market Price is below $2.25 (as such number shall be appropriately adjusted for any stock splits, recapitalizations or similar events), the Company may, in lieu of having the increase in the Specified Number include the number of Buyout Shares, elect to pay cash to the Holder in an amount equal to the Buyout Amount (B$). Such election must be made by written notice to the holders within five</w:t>
      </w:r>
    </w:p>
    <w:p>
      <w:pPr>
        <w:spacing w:after="0" w:line="1" w:lineRule="exact"/>
        <w:rPr>
          <w:sz w:val="20"/>
          <w:szCs w:val="20"/>
          <w:color w:val="auto"/>
        </w:rPr>
      </w:pPr>
    </w:p>
    <w:p>
      <w:pPr>
        <w:ind w:left="8" w:right="3079" w:hanging="8"/>
        <w:spacing w:after="0" w:line="242" w:lineRule="auto"/>
        <w:tabs>
          <w:tab w:leader="none" w:pos="36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applicable Adjustment Date and the Company must make payment therefor in cash (i) within sixty (60) days after the first Adjustment Date, if applicable and (ii) within five (5) business days after any subsequent applicable Adjustment Date.</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1321" w:right="1440" w:bottom="1440" w:gutter="0" w:footer="0" w:header="0"/>
        </w:sectPr>
      </w:pPr>
    </w:p>
    <w:bookmarkStart w:id="116" w:name="page117"/>
    <w:bookmarkEnd w:id="116"/>
    <w:p>
      <w:pPr>
        <w:jc w:val="both"/>
        <w:ind w:right="3439" w:firstLine="1333"/>
        <w:spacing w:after="0" w:line="267" w:lineRule="auto"/>
        <w:tabs>
          <w:tab w:leader="none" w:pos="1789"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First Adjustment Date, the Specified Number shall equal zero. For each Adjustment Date on which the number of Adjustment Shares determined in accordance with Section 1.3(a) is a positive number,</w:t>
      </w:r>
    </w:p>
    <w:p>
      <w:pPr>
        <w:spacing w:after="0" w:line="159" w:lineRule="exact"/>
        <w:rPr>
          <w:sz w:val="20"/>
          <w:szCs w:val="20"/>
          <w:color w:val="auto"/>
        </w:rPr>
      </w:pPr>
    </w:p>
    <w:p>
      <w:pPr>
        <w:ind w:left="440" w:right="3439" w:firstLine="893"/>
        <w:spacing w:after="0"/>
        <w:tabs>
          <w:tab w:leader="none" w:pos="178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First Adjustment Date, the Specified Number shall equal the number of Adjustment Shares; and</w:t>
      </w:r>
    </w:p>
    <w:p>
      <w:pPr>
        <w:spacing w:after="0" w:line="176" w:lineRule="exact"/>
        <w:rPr>
          <w:rFonts w:ascii="Courier New" w:cs="Courier New" w:eastAsia="Courier New" w:hAnsi="Courier New"/>
          <w:sz w:val="15"/>
          <w:szCs w:val="15"/>
          <w:color w:val="auto"/>
        </w:rPr>
      </w:pPr>
    </w:p>
    <w:p>
      <w:pPr>
        <w:ind w:left="440" w:right="3159" w:firstLine="893"/>
        <w:spacing w:after="0" w:line="242" w:lineRule="auto"/>
        <w:tabs>
          <w:tab w:leader="none" w:pos="178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subsequent Adjustment Date, the Specified Number shall equal (x) the Specified Number determined on the immediately preceding Adjustment Date plus (y) the number of Adjustment Shares determined on the current Adjustment Date less (z) the number of shares of Common Stock for which this Warrant was exercised during the most recently completed Quarterly Period.</w:t>
      </w:r>
    </w:p>
    <w:p>
      <w:pPr>
        <w:spacing w:after="0" w:line="176" w:lineRule="exact"/>
        <w:rPr>
          <w:sz w:val="20"/>
          <w:szCs w:val="20"/>
          <w:color w:val="auto"/>
        </w:rPr>
      </w:pPr>
    </w:p>
    <w:p>
      <w:pPr>
        <w:jc w:val="both"/>
        <w:ind w:right="3439" w:firstLine="1333"/>
        <w:spacing w:after="0" w:line="242" w:lineRule="auto"/>
        <w:tabs>
          <w:tab w:leader="none" w:pos="17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Adjustment Shares may not be a negative number. For each Adjustment Date on which the number of Adjustment Shares determined in accordance with Section 1.2(a) is zero or would otherwise be a negative number, the Holder shall not be obligated to transfer any shares of Common Stock to the Company.</w:t>
      </w:r>
    </w:p>
    <w:p>
      <w:pPr>
        <w:spacing w:after="0" w:line="175" w:lineRule="exact"/>
        <w:rPr>
          <w:rFonts w:ascii="Courier New" w:cs="Courier New" w:eastAsia="Courier New" w:hAnsi="Courier New"/>
          <w:sz w:val="15"/>
          <w:szCs w:val="15"/>
          <w:color w:val="auto"/>
        </w:rPr>
      </w:pPr>
    </w:p>
    <w:p>
      <w:pPr>
        <w:ind w:right="3079" w:firstLine="1333"/>
        <w:spacing w:after="0" w:line="261" w:lineRule="auto"/>
        <w:tabs>
          <w:tab w:leader="none" w:pos="178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each Adjustment Date or within three Trading Days thereafter, the Holder shall give an Adjustment Notice in the form attached hereto to the Company accompanied by the spreadsheet referred to Section 1.3(e) used to calculate the Adjustment Shares. If the Holder fails to give an Adjustment Notice within three Trading Days after any Adjustment Date, the Company may notify the Holder of such failure and, if the Holder does not deliver such Adjustment Notice within three Trading Days after such notice of failure is given to the Holder, the Company shall give such Adjustment Notice to the Holder. Absent manifest error, the Adjustment Notice and such spreadsheet shall be binding on the Company and the Holder for purposes of making the determinations required by this Section 1.3. The Company and the Holder shall use their best efforts to promptly correct any error in any Adjustment Notice.</w:t>
      </w:r>
    </w:p>
    <w:p>
      <w:pPr>
        <w:spacing w:after="0" w:line="166" w:lineRule="exact"/>
        <w:rPr>
          <w:rFonts w:ascii="Courier New" w:cs="Courier New" w:eastAsia="Courier New" w:hAnsi="Courier New"/>
          <w:sz w:val="14"/>
          <w:szCs w:val="14"/>
          <w:color w:val="auto"/>
        </w:rPr>
      </w:pPr>
    </w:p>
    <w:p>
      <w:pPr>
        <w:ind w:right="3259" w:firstLine="1333"/>
        <w:spacing w:after="0" w:line="241" w:lineRule="auto"/>
        <w:tabs>
          <w:tab w:leader="none" w:pos="1789"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spreadsheet illustrating the application of the forgoing is annexed hereto and made a part hereof; such spreadsheet shall be used in calculating Adjustment Shares pursuant to this Section 1.3.</w:t>
      </w:r>
    </w:p>
    <w:p>
      <w:pPr>
        <w:spacing w:after="0" w:line="176"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1.4 MAXIMUM SHARE LIMITATION; REPURCHASE RIGHTS. Provided that the Common Stock is listed for trading on Nasdaq or another market having the Shareholder Approval Rule or an equivalent rule, and provided that Shareholder Approval or the equivalent has not been obtained, this Warrant may not be exercised to purchase shares of Common Stock to the extent, and only to the extent, such exercise would cause the Total Common Shares of the Holder to exceed the Share Limit. If such conditions obtain and if an exercise in full of this Warrant and/or the Callable Warrant would, but for the preceding sentence and the other limitations contained in Sections 1.1 and 1.2 above, cause the Total Common Shares to exceed the Share Limit:</w:t>
      </w:r>
    </w:p>
    <w:p>
      <w:pPr>
        <w:spacing w:after="0" w:line="179" w:lineRule="exact"/>
        <w:rPr>
          <w:sz w:val="20"/>
          <w:szCs w:val="20"/>
          <w:color w:val="auto"/>
        </w:rPr>
      </w:pPr>
    </w:p>
    <w:p>
      <w:pPr>
        <w:ind w:right="3079" w:firstLine="1333"/>
        <w:spacing w:after="0" w:line="242" w:lineRule="auto"/>
        <w:tabs>
          <w:tab w:leader="none" w:pos="169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(at the time of the Company's exercise of its right in this sentence) the Company shall be in compliance in all material respects with its obligations to the Holder (including, without limitation, its obligations under this Warrant, the Callable Warrant, the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17" w:name="page118"/>
    <w:bookmarkEnd w:id="117"/>
    <w:p>
      <w:pPr>
        <w:jc w:val="both"/>
        <w:ind w:left="8" w:right="3159"/>
        <w:spacing w:after="0" w:line="260" w:lineRule="auto"/>
        <w:rPr>
          <w:sz w:val="20"/>
          <w:szCs w:val="20"/>
          <w:color w:val="auto"/>
        </w:rPr>
      </w:pPr>
      <w:r>
        <w:rPr>
          <w:rFonts w:ascii="Courier New" w:cs="Courier New" w:eastAsia="Courier New" w:hAnsi="Courier New"/>
          <w:sz w:val="14"/>
          <w:szCs w:val="14"/>
          <w:color w:val="auto"/>
        </w:rPr>
        <w:t>Subscription Agreement and the Registration Rights Agreement), (ii) on the date the Repurchase Notice is given and at all times until the Repurchase Date, the Registration Statement is effective and available for use by the Holder for the resale of all of its Shares of Common Stock previously issued or issuable and</w:t>
      </w:r>
    </w:p>
    <w:p>
      <w:pPr>
        <w:spacing w:after="0" w:line="1" w:lineRule="exact"/>
        <w:rPr>
          <w:sz w:val="20"/>
          <w:szCs w:val="20"/>
          <w:color w:val="auto"/>
        </w:rPr>
      </w:pPr>
    </w:p>
    <w:p>
      <w:pPr>
        <w:ind w:left="8" w:right="3079" w:hanging="8"/>
        <w:spacing w:after="0" w:line="242" w:lineRule="auto"/>
        <w:tabs>
          <w:tab w:leader="none" w:pos="54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the Repurchase Notice is given and on the Repurchase Date, the Company has available unrestricted Cash and Cash Equivalent Balances not less than the aggregate amount to be paid to repurchase shares of Common Stock pursuant to Section 1.4 of this Warrant and the Other Class A Warrants, then the Company shall have the right to repurchase the shares of Common Stock issuable pursuant to the Warrant and/or the Callable Warrant held by the Holder in accordance with Section 1.4(b).</w:t>
      </w:r>
    </w:p>
    <w:p>
      <w:pPr>
        <w:spacing w:after="0" w:line="176" w:lineRule="exact"/>
        <w:rPr>
          <w:rFonts w:ascii="Courier New" w:cs="Courier New" w:eastAsia="Courier New" w:hAnsi="Courier New"/>
          <w:sz w:val="15"/>
          <w:szCs w:val="15"/>
          <w:color w:val="auto"/>
        </w:rPr>
      </w:pPr>
    </w:p>
    <w:p>
      <w:pPr>
        <w:ind w:left="8" w:right="3079" w:firstLine="1333"/>
        <w:spacing w:after="0" w:line="242" w:lineRule="auto"/>
        <w:tabs>
          <w:tab w:leader="none" w:pos="1797"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its repurchase right, the Company shall give a Repurchase Notice, not more frequently than once in any period of 180 consecutive days, on the Trading Day immediately following an Adjustment Date. If the Repurchase Notice is timely given, the Company shall be obligated to repurchase such portion of the shares issuable pursuant to this Warrant and/or the Callable Warrant (in proportions designated by the Holder) which exceed the Share Limit on a Repurchase Date which is not less than 20 Trading Days or more than 30 Trading Days after the date of the Repurchase Notice, if this Warrant and/or the Callable Warrant is to be repurchased pursuant to this Section 1.4, the Company shall repurchase such Warrants as if such Warrants had been exercised, to the extent of the portion of the Warrants being repurchased, on the Repurchase Date and the shares of Common Stock issuable upon such exercise were held directly by the Holder and were being repurchased. On the Repurchase Date, the Company shall make payment to the Holder of the applicable Repurchase Price multiplied by the number of shares of Common Stock to be repurchased in immediately available funds to such account as specified by the Holder in writing to the Company at least one Trading Day prior to the Repurchase Date, provided that if such payment is not so made on the Repurchase Date, the Company shall be obligated to repurchase such number of shares at a purchase price equal to the Holder Repurchase Price per share. Notwithstanding anything to the contrary in the foregoing provisions of this Section 1.4, prior to the Repurchase Date, or such later date on which the Repurchase Price is paid, the Holder shall be free to exercise this Warrant as long as such exercise does not violate the first sentence of this Section 1.4.</w:t>
      </w:r>
    </w:p>
    <w:p>
      <w:pPr>
        <w:spacing w:after="0" w:line="188" w:lineRule="exact"/>
        <w:rPr>
          <w:rFonts w:ascii="Courier New" w:cs="Courier New" w:eastAsia="Courier New" w:hAnsi="Courier New"/>
          <w:sz w:val="15"/>
          <w:szCs w:val="15"/>
          <w:color w:val="auto"/>
        </w:rPr>
      </w:pPr>
    </w:p>
    <w:p>
      <w:pPr>
        <w:ind w:left="8" w:right="3079" w:firstLine="1333"/>
        <w:spacing w:after="0" w:line="261" w:lineRule="auto"/>
        <w:tabs>
          <w:tab w:leader="none" w:pos="1797"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does not timely give a Repurchase Notice pursuant to subsection (b) above, the Company shall have the option by written notice to the Holder, and the Holder shall have the right to require the Company by written notice, to seek the Shareholder Approval applicable to an issuance of shares in excess of the Share Limit ("Excess Shares") as soon as possible, but in any event, not later than the 75th day after such election or the Holder's demand, and if the Company shall have failed to receive Shareholder Approval within five (5) Business Days of such 75th day, the Company shall, on such fifth Business Day, pay cash to such Holder in an amount equal to the Holder Repurchase Price multiplied by the number of Excess Shares. If the Company fails to pay the Holder Repurchase Price in full pursuant to this Section 1.4 within seven days after the date payable, the Company will pay interest thereon at a rate of 18% per annum or such lesser maximum amount that is permitted to be paid by applicable law, to the Holder, accruing daily from such fifth Business Day until such amount, plus all such interest thereon, is paid in full.</w:t>
      </w:r>
    </w:p>
    <w:p>
      <w:pPr>
        <w:spacing w:after="0" w:line="165" w:lineRule="exact"/>
        <w:rPr>
          <w:sz w:val="20"/>
          <w:szCs w:val="20"/>
          <w:color w:val="auto"/>
        </w:rPr>
      </w:pPr>
    </w:p>
    <w:p>
      <w:pPr>
        <w:ind w:left="8" w:right="3159" w:firstLine="1333"/>
        <w:spacing w:after="0" w:line="241" w:lineRule="auto"/>
        <w:tabs>
          <w:tab w:leader="none" w:pos="1797"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STOCK CERTIFICATES, ETC., ON EXERCISE. (a) As soon as practicable after the exercise of this Warrant, and in any event within three Trading Days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118" w:name="page119"/>
    <w:bookmarkEnd w:id="118"/>
    <w:p>
      <w:pPr>
        <w:ind w:right="3079"/>
        <w:spacing w:after="0" w:line="242" w:lineRule="auto"/>
        <w:rPr>
          <w:sz w:val="20"/>
          <w:szCs w:val="20"/>
          <w:color w:val="auto"/>
        </w:rPr>
      </w:pPr>
      <w:r>
        <w:rPr>
          <w:rFonts w:ascii="Courier New" w:cs="Courier New" w:eastAsia="Courier New" w:hAnsi="Courier New"/>
          <w:sz w:val="15"/>
          <w:szCs w:val="15"/>
          <w:color w:val="auto"/>
        </w:rPr>
        <w:t>thereafter, the Company at its expense (including the payment by it of any applicable issue or stamp taxes) will cause to be issued in the name of and delivered to the Holder hereof, or as the Holder (upon payment by the Holder of any applicable transfer taxes) may direct, a certificate or certificates for the number of fully paid and nonassessable shares of Common Stock (or Other Securities) to which the Holder shall be entitled on such exercise, in such denominations as may be requested by the Holder, plus, in lieu of any fractional share to which the Holder would otherwise be entitled, cash equal to such fraction multiplied by the then current fair market value (as reasonably determined by the Company) of one full share, together with any other stock or other securities and property (including cash, where applicable) to which the Holder is entitled upon such exercise pursuant to Section 1 or otherwise. Upon exercise of this Warrant as provided herein, the Company's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Company to the Holder, or any setoff, counterclaim, recoupment, limitation or termination, or any breach or alleged breach by the Holder or any other person of any obligation to the Company, and irrespective of any other circumstance which might otherwise limit such obligation of the Company to the Holder in connection with such exercise. If the Company fails to issue and deliver the certificates for the Common Stock to the Holder pursuant to the first sentence of this paragraph as and when required to do so, in addition to any other liabilities the Company may have hereunder and under applicable law, the Company shall pay or reimburse the Holder on demand for all out-of-pocket expenses including, without limitation, reasonable fees and expenses of legal counsel incurred by the Holder as a result of such failure.</w:t>
      </w:r>
    </w:p>
    <w:p>
      <w:pPr>
        <w:spacing w:after="0" w:line="192" w:lineRule="exact"/>
        <w:rPr>
          <w:sz w:val="20"/>
          <w:szCs w:val="20"/>
          <w:color w:val="auto"/>
        </w:rPr>
      </w:pPr>
    </w:p>
    <w:p>
      <w:pPr>
        <w:ind w:right="3079" w:firstLine="1333"/>
        <w:spacing w:after="0" w:line="242" w:lineRule="auto"/>
        <w:tabs>
          <w:tab w:leader="none" w:pos="178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fails to deliver to the Holder a certificate or certificates representing the shares of Common Stock pursuant to Section 2(a) by the third Trading Day after each date of exercise of this Warrant, the Company shall pay to the Holder, in cash, as liquidated damages and not as a penalty, $5,000 for each day after such third Trading Day until such certificates are delivered. The payment and acceptance of any cash penalty shall not preclude the Holder from proceeding under the next paragraph 2(c); provided that any amounts actually paid to the Holder under this paragraph 2(b) herein shall be deducted (but not below zero) from the amount otherwise recoverable under paragraph 2(c) below.</w:t>
      </w:r>
    </w:p>
    <w:p>
      <w:pPr>
        <w:spacing w:after="0" w:line="178"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any other rights available to the Holder, but subject to paragraph 2(b) above, if the Company fails to deliver to the Holder a certificate or certificates representing shares of Common Stock pursuant to Section 2(a) by the third Trading Day after the date of exercise of this Warrant, and if after such third Trading Day the Holder purchases (in an open market transaction or otherwise) shares of Common Stock to deliver in satisfaction of a sale by the Holder of the shares of Common Stock which the Holder anticipated receiving upon such exercise (a "Buy-In"), then the Company shall pay (1) in cash to the Holder the amount by which (x) the Holder's total purchase price (including brokerage commissions, if any) for the shares of Common Stock so purchased exceeds (y) the amount obtained by multiplying (A) the number of shares of Common Stock that the Company was required to deliver pursuant to Section 2(a) to deliver to the Holder in connection with the exercise at issue by (B) the Market Price at the time of the sale giving rise to such purchase obligation and (2) deliver to the Holder the number of shares of Common Stock that would have been issued had the Company timely complied with its</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19" w:name="page120"/>
    <w:bookmarkEnd w:id="119"/>
    <w:p>
      <w:pPr>
        <w:ind w:left="8" w:right="3079"/>
        <w:spacing w:after="0" w:line="242" w:lineRule="auto"/>
        <w:rPr>
          <w:sz w:val="20"/>
          <w:szCs w:val="20"/>
          <w:color w:val="auto"/>
        </w:rPr>
      </w:pPr>
      <w:r>
        <w:rPr>
          <w:rFonts w:ascii="Courier New" w:cs="Courier New" w:eastAsia="Courier New" w:hAnsi="Courier New"/>
          <w:sz w:val="15"/>
          <w:szCs w:val="15"/>
          <w:color w:val="auto"/>
        </w:rPr>
        <w:t>exercise and delivery obligations under Section 2(a). For example, if the Holder purchases Common Stock having a total purchase price of $11,000 to cover a Buy-In with respect to an attempted exercise of shares of Common Stock with a Market Price on the date of exercise totaled $10,000, under clause (A) of the immediately preceding sentence the Company shall be required to pay the Holder $1,000. The Holder shall provide the Company written notice and appropriate documentation indicating the amounts payable to the Holder in respect of the Buy-In.</w:t>
      </w:r>
    </w:p>
    <w:p>
      <w:pPr>
        <w:spacing w:after="0" w:line="177" w:lineRule="exact"/>
        <w:rPr>
          <w:sz w:val="20"/>
          <w:szCs w:val="20"/>
          <w:color w:val="auto"/>
        </w:rPr>
      </w:pPr>
    </w:p>
    <w:p>
      <w:pPr>
        <w:ind w:left="8" w:right="3079" w:firstLine="1333"/>
        <w:spacing w:after="0" w:line="242" w:lineRule="auto"/>
        <w:tabs>
          <w:tab w:leader="none" w:pos="1797"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DIVIDENDS IN OTHER STOCK, PROPERTY, ETC.; RECLASSIFICATION, ETC. In case at any time or from time to time after the Issuance Date, all the holders of Common Stock (or Other Securities) shall have received, or (on or after the record date fixed for the determination of stockholders eligible to receive) shall have become entitled to receive, without payment therefor,</w:t>
      </w:r>
    </w:p>
    <w:p>
      <w:pPr>
        <w:spacing w:after="0" w:line="176" w:lineRule="exact"/>
        <w:rPr>
          <w:sz w:val="20"/>
          <w:szCs w:val="20"/>
          <w:color w:val="auto"/>
        </w:rPr>
      </w:pPr>
    </w:p>
    <w:p>
      <w:pPr>
        <w:ind w:left="8" w:right="3339" w:firstLine="1333"/>
        <w:spacing w:after="0"/>
        <w:tabs>
          <w:tab w:leader="none" w:pos="179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or additional stock or other securities or property (other than cash) by way of dividend, or</w:t>
      </w:r>
    </w:p>
    <w:p>
      <w:pPr>
        <w:spacing w:after="0" w:line="176" w:lineRule="exact"/>
        <w:rPr>
          <w:rFonts w:ascii="Courier New" w:cs="Courier New" w:eastAsia="Courier New" w:hAnsi="Courier New"/>
          <w:sz w:val="15"/>
          <w:szCs w:val="15"/>
          <w:color w:val="auto"/>
        </w:rPr>
      </w:pPr>
    </w:p>
    <w:p>
      <w:pPr>
        <w:ind w:left="8" w:right="3439" w:firstLine="1333"/>
        <w:spacing w:after="0"/>
        <w:tabs>
          <w:tab w:leader="none" w:pos="179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(excluding cash dividends payable solely out of earnings or earned surplus of the Company), or</w:t>
      </w:r>
    </w:p>
    <w:p>
      <w:pPr>
        <w:spacing w:after="0" w:line="176" w:lineRule="exact"/>
        <w:rPr>
          <w:rFonts w:ascii="Courier New" w:cs="Courier New" w:eastAsia="Courier New" w:hAnsi="Courier New"/>
          <w:sz w:val="15"/>
          <w:szCs w:val="15"/>
          <w:color w:val="auto"/>
        </w:rPr>
      </w:pPr>
    </w:p>
    <w:p>
      <w:pPr>
        <w:ind w:left="8" w:right="3339" w:firstLine="1333"/>
        <w:spacing w:after="0" w:line="241" w:lineRule="auto"/>
        <w:tabs>
          <w:tab w:leader="none" w:pos="1797"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or additional stock or other securities or property (including cash) by way of spin-off, split-up, reclassification, recapitalization, combination of shares or similar corporate rearrangement,</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other than additional shares of Common Stock (or Other Securities) issued as a stock dividend or in a stock-split (adjustments in respect of which are provided for in Section 5), then and in each such case the Holder shall be entitled to receive, at the same time as holders of Common Stock, the amount of stock and other securities and property (including cash in the cases referred to in subdivisions (b) and (c) of this Section 3) which the Holder would have received if on the date thereof the Holder had been the holder of record of the Specified Number, after giving effect to all adjustments called for during such period by Section 4. Notwithstanding anything in this Section 3 to the contrary, no adjustments pursuant to this Section 3 shall actually be made until the cumulative effect of the adjustments called for by this Section 3 since the date of the last adjustment actually made would change the amount of stock or other securities and property which the Holder would hold by more than 1%.</w:t>
      </w:r>
    </w:p>
    <w:p>
      <w:pPr>
        <w:spacing w:after="0" w:line="166" w:lineRule="exact"/>
        <w:rPr>
          <w:sz w:val="20"/>
          <w:szCs w:val="20"/>
          <w:color w:val="auto"/>
        </w:rPr>
      </w:pPr>
    </w:p>
    <w:p>
      <w:pPr>
        <w:ind w:left="8" w:right="3079" w:firstLine="1333"/>
        <w:spacing w:after="0" w:line="242" w:lineRule="auto"/>
        <w:tabs>
          <w:tab w:leader="none" w:pos="1797"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UPON REORGANIZATION, CONSOLIDATION, MERGER, ETC. In case of any (1) merger or consolidation of the Company with or into another person, or (2) sale by the Company of more than one-half of the assets of the Company (on a book value basis) in one or a series of related transactions, or</w:t>
      </w:r>
    </w:p>
    <w:p>
      <w:pPr>
        <w:spacing w:after="0" w:line="2"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 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 would have been entitled, (B) in the case of a merger</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5" w:right="1440" w:bottom="1440" w:gutter="0" w:footer="0" w:header="0"/>
        </w:sectPr>
      </w:pPr>
    </w:p>
    <w:bookmarkStart w:id="120" w:name="page121"/>
    <w:bookmarkEnd w:id="120"/>
    <w:p>
      <w:pPr>
        <w:ind w:right="3079"/>
        <w:spacing w:after="0" w:line="242" w:lineRule="auto"/>
        <w:rPr>
          <w:sz w:val="20"/>
          <w:szCs w:val="20"/>
          <w:color w:val="auto"/>
        </w:rPr>
      </w:pPr>
      <w:r>
        <w:rPr>
          <w:rFonts w:ascii="Courier New" w:cs="Courier New" w:eastAsia="Courier New" w:hAnsi="Courier New"/>
          <w:sz w:val="15"/>
          <w:szCs w:val="15"/>
          <w:color w:val="auto"/>
        </w:rPr>
        <w:t>or consolidation, (x) require the surviving entity to issue to the Holder a warrant entitling the Holder to acquire shares of such entity's common stock, which warrant shall have terms identical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other securities issuable upon exercise thereof), or (C) in the event of an exchange or tender offer or other transaction contemplated by clause (3) of this Section,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In the case of clause (B), the exercise price applicable for the newly issued warrant shall be based upon the amount of securities, cash and property that each share of Common Stock would receive in such transaction and the Purchase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redemption following such event. This provision shall similarly apply to successive such events.</w:t>
      </w:r>
    </w:p>
    <w:p>
      <w:pPr>
        <w:spacing w:after="0" w:line="189" w:lineRule="exact"/>
        <w:rPr>
          <w:sz w:val="20"/>
          <w:szCs w:val="20"/>
          <w:color w:val="auto"/>
        </w:rPr>
      </w:pPr>
    </w:p>
    <w:p>
      <w:pPr>
        <w:ind w:right="3079" w:firstLine="1333"/>
        <w:spacing w:after="0" w:line="242" w:lineRule="auto"/>
        <w:tabs>
          <w:tab w:leader="none" w:pos="178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FOR EXTRAORDINARY EVENTS. In the event that after the Issuance Date the Company shall (i) issue additional shares of Common Stock as a dividend or other distribution on outstanding Common Stock, (ii) subdivide or reclassify its outstanding share of Common Stock, or (iii) combine its outstanding share of Common Stock into a smaller number of shares of Common Stock, then, in each event, the Specified Number shall, simultaneously with the happening of such event, be adjusted by multiplying the Specified Number in effect immediately prior to such event by a fraction, the numerator of which shall be the number of shares of Common Stock outstanding immediately after such event and the denominator of which shall be the number of shares of Common Stock outstanding immediately prior to such event, and the product so obtained shall thereafter be the Specified Number then in effect. The Specified Number, as so adjusted, shall be readjusted in the same manner upon the happening of any successive event or events described in this Section 5.</w:t>
      </w:r>
    </w:p>
    <w:p>
      <w:pPr>
        <w:spacing w:after="0" w:line="181"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Subject to the terms hereof, the Company will take all action that may be necessary or appropriate in order that the Company may validly and legally issue fully paid and nonassessable shares of stock, free from all taxes, liens and charges with respect to the issue thereof, on the exercise of all or any portion of this Warrant from time to time outstanding.</w:t>
      </w:r>
    </w:p>
    <w:p>
      <w:pPr>
        <w:spacing w:after="0" w:line="174" w:lineRule="exact"/>
        <w:rPr>
          <w:rFonts w:ascii="Courier New" w:cs="Courier New" w:eastAsia="Courier New" w:hAnsi="Courier New"/>
          <w:sz w:val="15"/>
          <w:szCs w:val="15"/>
          <w:color w:val="auto"/>
        </w:rPr>
      </w:pPr>
    </w:p>
    <w:p>
      <w:pPr>
        <w:ind w:left="1780" w:hanging="447"/>
        <w:spacing w:after="0"/>
        <w:tabs>
          <w:tab w:leader="none" w:pos="17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OF RECORD DATE, ETC. In the event of</w:t>
      </w:r>
    </w:p>
    <w:p>
      <w:pPr>
        <w:spacing w:after="0" w:line="176" w:lineRule="exact"/>
        <w:rPr>
          <w:sz w:val="20"/>
          <w:szCs w:val="20"/>
          <w:color w:val="auto"/>
        </w:rPr>
      </w:pPr>
    </w:p>
    <w:p>
      <w:pPr>
        <w:ind w:right="3159" w:firstLine="1333"/>
        <w:spacing w:after="0" w:line="242" w:lineRule="auto"/>
        <w:tabs>
          <w:tab w:leader="none" w:pos="169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by the Company of a record of the holders of any class of securities for the purpose of determining the holders thereof who are entitled to receive any dividend on, or any right to subscribe for, purchase or otherwise acquire any shares of stock of any class or any other securities or property, or to receive any other right, or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4" w:right="1440" w:bottom="1440" w:gutter="0" w:footer="0" w:header="0"/>
        </w:sectPr>
      </w:pPr>
    </w:p>
    <w:bookmarkStart w:id="121" w:name="page122"/>
    <w:bookmarkEnd w:id="121"/>
    <w:p>
      <w:pPr>
        <w:ind w:right="3079" w:firstLine="1333"/>
        <w:spacing w:after="0" w:line="242" w:lineRule="auto"/>
        <w:tabs>
          <w:tab w:leader="none" w:pos="178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capital reorganization of the Company, any reclassification or recapitalization of the capital stock of the Company or any transfer of all or substantially all of the assets of the Company to or consolidation or merger of the Company with or into any other person (other than a wholly-owned subsidiary of the Company), or</w:t>
      </w:r>
    </w:p>
    <w:p>
      <w:pPr>
        <w:spacing w:after="0" w:line="175" w:lineRule="exact"/>
        <w:rPr>
          <w:rFonts w:ascii="Courier New" w:cs="Courier New" w:eastAsia="Courier New" w:hAnsi="Courier New"/>
          <w:sz w:val="15"/>
          <w:szCs w:val="15"/>
          <w:color w:val="auto"/>
        </w:rPr>
      </w:pPr>
    </w:p>
    <w:p>
      <w:pPr>
        <w:ind w:right="3439" w:firstLine="1333"/>
        <w:spacing w:after="0"/>
        <w:tabs>
          <w:tab w:leader="none" w:pos="178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voluntary or involuntary dissolution, liquidation or winding-up of the Company,</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then and in each such event the Company will mail or cause to be mailed to the Holder, at least ten days prior to such record date, a notice specifying (i) the date on which any such record is to be taken for the purpose of such dividend, distribution or right, and stating the amount and character of such dividend, distribution or right, (ii) the date on which any such reorganization, reclassification, recapitalization, transfer, consolidation, merger, dissolution, liquidation or winding-up is to take place, and the time, if any is to be fixed, as of which the holders of record of Common Stock (or Other Securities) shall be entitled to exchange their shares of Common Stock (or Other Securities) for securities or other property deliverable on such reorganization, reclassification, recapitalization, transfer, consolidation, merger, dissolution, liquidation or winding-up, and (iii) the amount and character of any stock or other securities, or rights or options with respect thereto, proposed to be issued or granted, the date of such proposed issue or grant and the persons or class of persons to whom such proposed issue or grant is to be offered or made. Such notice shall also state that the action in question or the record date is subject to the effectiveness of a registration statement under the 1933 Act, or a favorable vote of stockholders, if either is required. Such notice shall be mailed at least ten days prior to the date specified in such notice on which any such action is to be taken or the record date, whichever is earlier.</w:t>
      </w:r>
    </w:p>
    <w:p>
      <w:pPr>
        <w:spacing w:after="0" w:line="186" w:lineRule="exact"/>
        <w:rPr>
          <w:sz w:val="20"/>
          <w:szCs w:val="20"/>
          <w:color w:val="auto"/>
        </w:rPr>
      </w:pPr>
    </w:p>
    <w:p>
      <w:pPr>
        <w:ind w:right="3079" w:firstLine="1333"/>
        <w:spacing w:after="0" w:line="242" w:lineRule="auto"/>
        <w:tabs>
          <w:tab w:leader="none" w:pos="178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STOCK, ETC., ISSUABLE ON EXERCISE OF WARRANTS. The Company will at all times reserve and keep available out of its authorized but unissued shares of capital stock, solely for issuance and delivery on the exercise of this Warrant, a sufficient number of shares of Common Stock (or Other Securities) to effect the full exercise of this Warrant and the exercise, conversion or exchange of any other warrant or security of the Company exercisable for, convertible into, exchangeable for or otherwise entitling the holder to acquire shares of Common Stock (or Other Securities), and if at any time the number of authorized but unissued shares of Common Stock (or Other Securities) shall not be sufficient to effect such exercise, conversion or exchange, the Company shall take such action as may be necessary to increase its authorized but unissued shares of Common Stock (or Other Securities) to such number as shall be sufficient for such purposes.</w:t>
      </w:r>
    </w:p>
    <w:p>
      <w:pPr>
        <w:spacing w:after="0" w:line="180"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WARRANT. This Warrant shall inure to the benefit of the successors to and assigns of the Holder. This Warrant and all rights hereunder, in whole or in part, are registrable at the office or agency of the Company referred to below by the Holder hereof in person or by his duly authorized attorney, upon surrender of this Warrant properly endorsed.</w:t>
      </w:r>
    </w:p>
    <w:p>
      <w:pPr>
        <w:spacing w:after="0" w:line="175" w:lineRule="exact"/>
        <w:rPr>
          <w:rFonts w:ascii="Courier New" w:cs="Courier New" w:eastAsia="Courier New" w:hAnsi="Courier New"/>
          <w:sz w:val="15"/>
          <w:szCs w:val="15"/>
          <w:color w:val="auto"/>
        </w:rPr>
      </w:pPr>
    </w:p>
    <w:p>
      <w:pPr>
        <w:ind w:right="3259" w:firstLine="1333"/>
        <w:spacing w:after="0" w:line="242" w:lineRule="auto"/>
        <w:tabs>
          <w:tab w:leader="none" w:pos="1789"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 OF WARRANTS. The Company shall maintain, at the principal office of the Company (or such other office as it may designate by notice to the Holder hereof), a register in which the Company shall record the name and address of the person in whose name this Warrant has been issued, as well as the name and address of each successor and prior owner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22" w:name="page123"/>
    <w:bookmarkEnd w:id="122"/>
    <w:p>
      <w:pPr>
        <w:jc w:val="both"/>
        <w:ind w:right="3079"/>
        <w:spacing w:after="0" w:line="241" w:lineRule="auto"/>
        <w:rPr>
          <w:sz w:val="20"/>
          <w:szCs w:val="20"/>
          <w:color w:val="auto"/>
        </w:rPr>
      </w:pPr>
      <w:r>
        <w:rPr>
          <w:rFonts w:ascii="Courier New" w:cs="Courier New" w:eastAsia="Courier New" w:hAnsi="Courier New"/>
          <w:sz w:val="15"/>
          <w:szCs w:val="15"/>
          <w:color w:val="auto"/>
        </w:rPr>
        <w:t>of such Warrant. The Company shall be entitled to treat the person in whose name this Warrant is so registered as the sole and absolute owner of this Warrant for all purposes.</w:t>
      </w:r>
    </w:p>
    <w:p>
      <w:pPr>
        <w:spacing w:after="0" w:line="176" w:lineRule="exact"/>
        <w:rPr>
          <w:sz w:val="20"/>
          <w:szCs w:val="20"/>
          <w:color w:val="auto"/>
        </w:rPr>
      </w:pPr>
    </w:p>
    <w:p>
      <w:pPr>
        <w:ind w:right="3079" w:firstLine="1333"/>
        <w:spacing w:after="0" w:line="242" w:lineRule="auto"/>
        <w:tabs>
          <w:tab w:leader="none" w:pos="178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OF WARRANT. This Warrant is exchangeable, upon the surrender hereof by the Holder hereof at the office or agency of the Company referred to in Section 10, for one or more new Warrants of like tenor representing in the aggregate the right to subscribe for and purchase the number of shares of Common Stock which may be subscribed for and purchased hereunder, each of such new Warrants to represent the right to subscribe for and purchase such number of shares as shall be designated by said Holder hereof at the time of such surrender.</w:t>
      </w:r>
    </w:p>
    <w:p>
      <w:pPr>
        <w:spacing w:after="0" w:line="177" w:lineRule="exact"/>
        <w:rPr>
          <w:rFonts w:ascii="Courier New" w:cs="Courier New" w:eastAsia="Courier New" w:hAnsi="Courier New"/>
          <w:sz w:val="15"/>
          <w:szCs w:val="15"/>
          <w:color w:val="auto"/>
        </w:rPr>
      </w:pPr>
    </w:p>
    <w:p>
      <w:pPr>
        <w:ind w:right="3159" w:firstLine="1333"/>
        <w:spacing w:after="0" w:line="262" w:lineRule="auto"/>
        <w:tabs>
          <w:tab w:leader="none" w:pos="178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REPLACEMENT OF WARRANT. On receipt of evidence reasonably satisfactory to the Company of the loss, theft, destruction or mutilation of this Warrant and, in the case of any such loss, theft or destruction of this Warrant, on delivery of an indemnity agreement or security reasonably satisfactory in form and amount to the Company or, in the case of any such mutilation, on surrender and cancellation of this Warrant, the Company at its expense will execute and deliver, in lieu thereof, a new Warrant of like tenor.</w:t>
      </w:r>
    </w:p>
    <w:p>
      <w:pPr>
        <w:spacing w:after="0" w:line="164" w:lineRule="exact"/>
        <w:rPr>
          <w:rFonts w:ascii="Courier New" w:cs="Courier New" w:eastAsia="Courier New" w:hAnsi="Courier New"/>
          <w:sz w:val="14"/>
          <w:szCs w:val="14"/>
          <w:color w:val="auto"/>
        </w:rPr>
      </w:pPr>
    </w:p>
    <w:p>
      <w:pPr>
        <w:ind w:right="3159" w:firstLine="1333"/>
        <w:spacing w:after="0" w:line="242" w:lineRule="auto"/>
        <w:tabs>
          <w:tab w:leader="none" w:pos="178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may, by written notice to the Holder, appoint the transfer agent and registrar for the Common Stock as the Company's agent for the purpose of issuing shares of Common Stock (or Other Securities) on the exercise of this Warrant pursuant to Section 1, and the Company may, by notice to the Holder, appoint an agent having an office in the United States of America for the purpose of exchanging this Warrant pursuant to Section 11 and replacing this Warrant pursuant to Section 12, or either of the foregoing, and thereafter any such exchange or replacement, as the case may be, shall be made at such office by such agent.</w:t>
      </w:r>
    </w:p>
    <w:p>
      <w:pPr>
        <w:spacing w:after="0" w:line="178"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The Company stipulates that the remedies at law of the Holder in the event of any default or threatened default by the Company in the performance of or compliance with any of the terms of this Warrant are not and will not be adequate, and that such terms may be specifically enforced by a decree for the specific performance of any agreement contained herein or by an injunction against a violation of any of the terms hereof or otherwise.</w:t>
      </w:r>
    </w:p>
    <w:p>
      <w:pPr>
        <w:spacing w:after="0" w:line="176" w:lineRule="exact"/>
        <w:rPr>
          <w:rFonts w:ascii="Courier New" w:cs="Courier New" w:eastAsia="Courier New" w:hAnsi="Courier New"/>
          <w:sz w:val="15"/>
          <w:szCs w:val="15"/>
          <w:color w:val="auto"/>
        </w:rPr>
      </w:pPr>
    </w:p>
    <w:p>
      <w:pPr>
        <w:ind w:right="3159" w:firstLine="1333"/>
        <w:spacing w:after="0" w:line="242" w:lineRule="auto"/>
        <w:tabs>
          <w:tab w:leader="none" w:pos="178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OR LIABILITIES AS A STOCKHOLDER. This Warrant shall not entitle the Holder hereof to any voting rights or other rights as a stockholder of the Company. No provision of this Warrant, in the absence of affirmative action by the Holder hereof to purchase Common Stock, and no mere enumeration herein of the rights or privileges of the Holder hereof, shall give rise to any liability of the Holder for the Purchase Price or as a stockholder of the Company, whether such liability is asserted by the Company or by creditors of the Company.</w:t>
      </w:r>
    </w:p>
    <w:p>
      <w:pPr>
        <w:spacing w:after="0" w:line="177" w:lineRule="exact"/>
        <w:rPr>
          <w:rFonts w:ascii="Courier New" w:cs="Courier New" w:eastAsia="Courier New" w:hAnsi="Courier New"/>
          <w:sz w:val="15"/>
          <w:szCs w:val="15"/>
          <w:color w:val="auto"/>
        </w:rPr>
      </w:pPr>
    </w:p>
    <w:p>
      <w:pPr>
        <w:ind w:right="3079" w:firstLine="1333"/>
        <w:spacing w:after="0" w:line="262" w:lineRule="auto"/>
        <w:tabs>
          <w:tab w:leader="none" w:pos="1789"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ETC. All notices and other communications from the Company to the registered Holder or from the registered Holder to the Company shall be delivered personally (which shall include telephone line facsimile transmission with answer back confirmation) or by courier and shall be effective upon receipt, addressed to each party at the address or telephone line facsimile transmission number for each party set forth in the Subscription Agreement or at such other address or telephone line facsimile transmission number as a party shall have provided to the other party in accordance with this provision.</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123" w:name="page124"/>
    <w:bookmarkEnd w:id="123"/>
    <w:p>
      <w:pPr>
        <w:ind w:left="-1200" w:right="3079" w:firstLine="1333"/>
        <w:spacing w:after="0" w:line="242" w:lineRule="auto"/>
        <w:tabs>
          <w:tab w:leader="none" w:pos="58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RESTRICTIONS. By acceptance of this Warrant, the Holder represents to the Company that this Warrant is being acquired for the Holder's own account and for the purpose of investment and not with a view to, or for sale in connection with, the distribution thereof, nor with any present intention of distributing or selling this Warrant or the Common Stock issuable upon exercise of this Warrant. The Holder acknowledges and agrees that this Warrant and, except as otherwise provided in the Registration Rights Agreement, the shares of Common Stock issuable upon exercise of this Warrant (if any) have not been (and at the time of acquisition by the Holder, will not have been or will not be), registered under the 1933 Act or under the securities laws of any state, in reliance upon certain exemptive provisions of such statutes. The Holder further recognizes and acknowledges that (a) because this Warrant and, except as provided in the Registration Rights Agreement, the Common Stock issuable upon exercise of this Warrant (if any) are unregistered, they may not be eligible for resale, and may only be resold in the future pursuant to an effective registration statement under the 1933 Act and any applicable state securities laws, or pursuant to a valid exemption from such registration requirements and (b) this Warrant and the Common Stock issuable upon the exercise hereof are subject to the transfer restrictions and other terms, conditions and obligations set forth in the Registration Rights Agreement and in the Subscription Agreement. Unless the shares of Common Stock issuable upon exercise of this Warrant have theretofore been registered for resale under the 1933 Act, the Company may require, as a condition to the issuance of Common Stock upon the exercise of this Warrant a confirmation as of the date of exercise of the Holder's representations pursuant to this Section 17.</w:t>
      </w:r>
    </w:p>
    <w:p>
      <w:pPr>
        <w:spacing w:after="0" w:line="188" w:lineRule="exact"/>
        <w:rPr>
          <w:rFonts w:ascii="Courier New" w:cs="Courier New" w:eastAsia="Courier New" w:hAnsi="Courier New"/>
          <w:sz w:val="15"/>
          <w:szCs w:val="15"/>
          <w:color w:val="auto"/>
        </w:rPr>
      </w:pPr>
    </w:p>
    <w:p>
      <w:pPr>
        <w:ind w:left="-1200" w:right="3339" w:firstLine="1333"/>
        <w:spacing w:after="0" w:line="241" w:lineRule="auto"/>
        <w:tabs>
          <w:tab w:leader="none" w:pos="58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LEGEND. Except to the extent required by the Subscription Agreement, each certificate for shares issued upon exercise of this Warrant shall be free of any restrictive legend.</w:t>
      </w:r>
    </w:p>
    <w:p>
      <w:pPr>
        <w:spacing w:after="0" w:line="176" w:lineRule="exact"/>
        <w:rPr>
          <w:rFonts w:ascii="Courier New" w:cs="Courier New" w:eastAsia="Courier New" w:hAnsi="Courier New"/>
          <w:sz w:val="15"/>
          <w:szCs w:val="15"/>
          <w:color w:val="auto"/>
        </w:rPr>
      </w:pPr>
    </w:p>
    <w:p>
      <w:pPr>
        <w:ind w:left="-1200" w:right="3159" w:firstLine="1333"/>
        <w:spacing w:after="0" w:line="242" w:lineRule="auto"/>
        <w:tabs>
          <w:tab w:leader="none" w:pos="58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 In any litigation, arbitration or court proceeding between the Company and Holder relating hereto, the prevailing party shall be entitled to attorneys' fees and expenses and all costs of proceedings incurred in enforcing this Warrant; provided that the prevailing party may only recover attorney's fees and expenses aggregating up to 35% of the amount sought in good faith to be recovered.</w:t>
      </w:r>
    </w:p>
    <w:p>
      <w:pPr>
        <w:spacing w:after="0" w:line="176" w:lineRule="exact"/>
        <w:rPr>
          <w:rFonts w:ascii="Courier New" w:cs="Courier New" w:eastAsia="Courier New" w:hAnsi="Courier New"/>
          <w:sz w:val="15"/>
          <w:szCs w:val="15"/>
          <w:color w:val="auto"/>
        </w:rPr>
      </w:pPr>
    </w:p>
    <w:p>
      <w:pPr>
        <w:ind w:left="-1200" w:right="3159" w:firstLine="1333"/>
        <w:spacing w:after="0" w:line="242" w:lineRule="auto"/>
        <w:tabs>
          <w:tab w:leader="none" w:pos="58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WAIVER. This Warrant and any terms hereof may be changed, waived, discharged or terminated only by an instrument in writing signed by the party against which enforcement of such change, waiver, discharge or termination is sought.</w:t>
      </w:r>
    </w:p>
    <w:p>
      <w:pPr>
        <w:spacing w:after="0" w:line="174" w:lineRule="exact"/>
        <w:rPr>
          <w:rFonts w:ascii="Courier New" w:cs="Courier New" w:eastAsia="Courier New" w:hAnsi="Courier New"/>
          <w:sz w:val="15"/>
          <w:szCs w:val="15"/>
          <w:color w:val="auto"/>
        </w:rPr>
      </w:pPr>
    </w:p>
    <w:p>
      <w:pPr>
        <w:ind w:left="-1200" w:right="3079" w:firstLine="1333"/>
        <w:spacing w:after="0" w:line="242" w:lineRule="auto"/>
        <w:tabs>
          <w:tab w:leader="none" w:pos="58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The corporate laws of the State of Delaware 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w:t>
      </w:r>
    </w:p>
    <w:p>
      <w:pPr>
        <w:spacing w:after="0" w:line="3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635" w:right="1440" w:bottom="1440" w:gutter="0" w:footer="0" w:header="0"/>
        </w:sectPr>
      </w:pPr>
    </w:p>
    <w:bookmarkStart w:id="124" w:name="page125"/>
    <w:bookmarkEnd w:id="124"/>
    <w:p>
      <w:pPr>
        <w:ind w:right="3079"/>
        <w:spacing w:after="0" w:line="242" w:lineRule="auto"/>
        <w:rPr>
          <w:sz w:val="20"/>
          <w:szCs w:val="20"/>
          <w:color w:val="auto"/>
        </w:rPr>
      </w:pPr>
      <w:r>
        <w:rPr>
          <w:rFonts w:ascii="Courier New" w:cs="Courier New" w:eastAsia="Courier New" w:hAnsi="Courier New"/>
          <w:sz w:val="15"/>
          <w:szCs w:val="15"/>
          <w:color w:val="auto"/>
        </w:rPr>
        <w:t>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125" w:name="page126"/>
    <w:bookmarkEnd w:id="125"/>
    <w:p>
      <w:pPr>
        <w:ind w:right="3439" w:firstLine="1342"/>
        <w:spacing w:after="0"/>
        <w:rPr>
          <w:sz w:val="20"/>
          <w:szCs w:val="20"/>
          <w:color w:val="auto"/>
        </w:rPr>
      </w:pPr>
      <w:r>
        <w:rPr>
          <w:rFonts w:ascii="Courier New" w:cs="Courier New" w:eastAsia="Courier New" w:hAnsi="Courier New"/>
          <w:sz w:val="15"/>
          <w:szCs w:val="15"/>
          <w:color w:val="auto"/>
        </w:rPr>
        <w:t>IN WITNESS WHEREOF, the Company has caused this Warrant to be executed on its behalf by one of its officers thereunto duly authorized.</w:t>
      </w:r>
    </w:p>
    <w:p>
      <w:pPr>
        <w:sectPr>
          <w:pgSz w:w="11900" w:h="16838" w:orient="portrait"/>
          <w:cols w:equalWidth="0" w:num="1">
            <w:col w:w="10219"/>
          </w:cols>
          <w:pgMar w:left="240" w:top="807"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31, 2000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STEMCELLS, INC.</w:t>
      </w:r>
    </w:p>
    <w:p>
      <w:pPr>
        <w:spacing w:after="0" w:line="209" w:lineRule="exact"/>
        <w:rPr>
          <w:sz w:val="20"/>
          <w:szCs w:val="20"/>
          <w:color w:val="auto"/>
        </w:rPr>
      </w:pPr>
    </w:p>
    <w:p>
      <w:pPr>
        <w:sectPr>
          <w:pgSz w:w="11900" w:h="16838" w:orient="portrait"/>
          <w:cols w:equalWidth="0" w:num="3">
            <w:col w:w="520" w:space="180"/>
            <w:col w:w="2060" w:space="720"/>
            <w:col w:w="6739"/>
          </w:cols>
          <w:pgMar w:left="240" w:top="807" w:right="1440" w:bottom="1440" w:gutter="0" w:footer="0" w:header="0"/>
          <w:type w:val="continuous"/>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807" w:right="1440" w:bottom="1440" w:gutter="0" w:footer="0" w:header="0"/>
          <w:type w:val="continuous"/>
        </w:sectPr>
      </w:pPr>
    </w:p>
    <w:bookmarkStart w:id="126" w:name="page127"/>
    <w:bookmarkEnd w:id="126"/>
    <w:p>
      <w:pPr>
        <w:ind w:left="2680"/>
        <w:spacing w:after="0"/>
        <w:rPr>
          <w:sz w:val="20"/>
          <w:szCs w:val="20"/>
          <w:color w:val="auto"/>
        </w:rPr>
      </w:pPr>
      <w:r>
        <w:rPr>
          <w:rFonts w:ascii="Courier New" w:cs="Courier New" w:eastAsia="Courier New" w:hAnsi="Courier New"/>
          <w:sz w:val="15"/>
          <w:szCs w:val="15"/>
          <w:color w:val="auto"/>
        </w:rPr>
        <w:t>FORM OF SUBSCRIPTION</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(To be signed only on exercise of Warrant)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525 Del Rey Avenue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Suite 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Sunnyvale, California 94086</w:t>
      </w:r>
    </w:p>
    <w:p>
      <w:pPr>
        <w:spacing w:after="0" w:line="174" w:lineRule="exact"/>
        <w:rPr>
          <w:sz w:val="20"/>
          <w:szCs w:val="20"/>
          <w:color w:val="auto"/>
        </w:rPr>
      </w:pPr>
    </w:p>
    <w:p>
      <w:pPr>
        <w:ind w:left="700"/>
        <w:spacing w:after="0"/>
        <w:tabs>
          <w:tab w:leader="none" w:pos="17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6" w:lineRule="exact"/>
        <w:rPr>
          <w:sz w:val="20"/>
          <w:szCs w:val="20"/>
          <w:color w:val="auto"/>
        </w:rPr>
      </w:pPr>
    </w:p>
    <w:p>
      <w:pPr>
        <w:ind w:right="3159" w:firstLine="1333"/>
        <w:spacing w:after="0" w:line="242" w:lineRule="auto"/>
        <w:tabs>
          <w:tab w:leader="none" w:pos="178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of the attached original, executed Warrant hereby elects to exercise its purchase right under such Warrant with respect to ______________ shares of Common Stock, as defined in the Warrant, of StemCells, Inc., a Delaware corporation (the "Company").</w:t>
      </w:r>
    </w:p>
    <w:p>
      <w:pPr>
        <w:spacing w:after="0" w:line="174"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elects to pay the aggregate purchase price for such shares of Common Stock (the "Exercise Shares") (i) by lawful money of the United States or the enclosed certified or official bank check payable in United States dollars to the order of the Company in the amount of $___________, or (ii) by wire transfer of United States funds to the account of the Company in the amount of $____________, which transfer has been made before or simultaneously with the delivery of this Form of Subscription pursuant to the instructions of the Company.</w:t>
      </w:r>
    </w:p>
    <w:p>
      <w:pPr>
        <w:spacing w:after="0" w:line="177" w:lineRule="exact"/>
        <w:rPr>
          <w:rFonts w:ascii="Courier New" w:cs="Courier New" w:eastAsia="Courier New" w:hAnsi="Courier New"/>
          <w:sz w:val="15"/>
          <w:szCs w:val="15"/>
          <w:color w:val="auto"/>
        </w:rPr>
      </w:pPr>
    </w:p>
    <w:p>
      <w:pPr>
        <w:ind w:right="3079" w:firstLine="1333"/>
        <w:spacing w:after="0" w:line="241" w:lineRule="auto"/>
        <w:tabs>
          <w:tab w:leader="none" w:pos="178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represents and warrants that it is an accredited investor as defined under Rule 501(a) promulgated under the Securities Act of 1933, as amended.</w:t>
      </w:r>
    </w:p>
    <w:p>
      <w:pPr>
        <w:spacing w:after="0" w:line="176" w:lineRule="exact"/>
        <w:rPr>
          <w:rFonts w:ascii="Courier New" w:cs="Courier New" w:eastAsia="Courier New" w:hAnsi="Courier New"/>
          <w:sz w:val="15"/>
          <w:szCs w:val="15"/>
          <w:color w:val="auto"/>
        </w:rPr>
      </w:pPr>
    </w:p>
    <w:p>
      <w:pPr>
        <w:ind w:right="3079" w:firstLine="1333"/>
        <w:spacing w:after="0" w:line="241" w:lineRule="auto"/>
        <w:tabs>
          <w:tab w:leader="none" w:pos="178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stock certificate or certificates representing the appropriate number of shares of Common Stock in the name of the undersigned or in such other name as is specified below:</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Address: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805" w:right="1440" w:bottom="1440" w:gutter="0" w:footer="0" w:header="0"/>
        </w:sectPr>
      </w:pPr>
    </w:p>
    <w:bookmarkStart w:id="127" w:name="page128"/>
    <w:bookmarkEnd w:id="127"/>
    <w:p>
      <w:pPr>
        <w:ind w:right="3079" w:firstLine="1333"/>
        <w:spacing w:after="0" w:line="241" w:lineRule="auto"/>
        <w:tabs>
          <w:tab w:leader="none" w:pos="178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Holder hereby represents to the Company that the exercise of the Warrant elected hereby does not violate Section 1.2 of the Warrant.</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w:t>
      </w:r>
    </w:p>
    <w:p>
      <w:pPr>
        <w:spacing w:after="0" w:line="185" w:lineRule="exact"/>
        <w:rPr>
          <w:sz w:val="20"/>
          <w:szCs w:val="20"/>
          <w:color w:val="auto"/>
        </w:rPr>
      </w:pPr>
    </w:p>
    <w:p>
      <w:pPr>
        <w:sectPr>
          <w:pgSz w:w="11900" w:h="16838" w:orient="portrait"/>
          <w:cols w:equalWidth="0" w:num="3">
            <w:col w:w="520" w:space="0"/>
            <w:col w:w="2600" w:space="720"/>
            <w:col w:w="6379"/>
          </w:cols>
          <w:pgMar w:left="240" w:top="635" w:right="1440" w:bottom="1440" w:gutter="0" w:footer="0" w:header="0"/>
          <w:type w:val="continuous"/>
        </w:sect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(Signature must conform to name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of Holder as specified on the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face of the Warrant)</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Address:</w:t>
      </w:r>
    </w:p>
    <w:p>
      <w:pPr>
        <w:spacing w:after="0" w:line="4"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type w:val="continuous"/>
        </w:sectPr>
      </w:pPr>
    </w:p>
    <w:bookmarkStart w:id="128" w:name="page129"/>
    <w:bookmarkEnd w:id="128"/>
    <w:p>
      <w:pPr>
        <w:ind w:left="2860"/>
        <w:spacing w:after="0"/>
        <w:rPr>
          <w:sz w:val="20"/>
          <w:szCs w:val="20"/>
          <w:color w:val="auto"/>
        </w:rPr>
      </w:pPr>
      <w:r>
        <w:rPr>
          <w:rFonts w:ascii="Courier New" w:cs="Courier New" w:eastAsia="Courier New" w:hAnsi="Courier New"/>
          <w:sz w:val="15"/>
          <w:szCs w:val="15"/>
          <w:color w:val="auto"/>
        </w:rPr>
        <w:t>ADJUSTMENT NOTICE</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525 Del Ray Avenue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Suite 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Sunnyvale, California 94086</w:t>
      </w:r>
    </w:p>
    <w:p>
      <w:pPr>
        <w:spacing w:after="0" w:line="174" w:lineRule="exact"/>
        <w:rPr>
          <w:sz w:val="20"/>
          <w:szCs w:val="20"/>
          <w:color w:val="auto"/>
        </w:rPr>
      </w:pPr>
    </w:p>
    <w:p>
      <w:pPr>
        <w:ind w:left="700"/>
        <w:spacing w:after="0"/>
        <w:tabs>
          <w:tab w:leader="none" w:pos="176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Chief Financial Officer</w:t>
      </w:r>
    </w:p>
    <w:p>
      <w:pPr>
        <w:spacing w:after="0" w:line="174" w:lineRule="exact"/>
        <w:rPr>
          <w:sz w:val="20"/>
          <w:szCs w:val="20"/>
          <w:color w:val="auto"/>
        </w:rPr>
      </w:pPr>
    </w:p>
    <w:p>
      <w:pPr>
        <w:ind w:left="700"/>
        <w:spacing w:after="0"/>
        <w:tabs>
          <w:tab w:leader="none" w:pos="2020" w:val="left"/>
        </w:tabs>
        <w:rPr>
          <w:sz w:val="20"/>
          <w:szCs w:val="20"/>
          <w:color w:val="auto"/>
        </w:rPr>
      </w:pPr>
      <w:r>
        <w:rPr>
          <w:rFonts w:ascii="Courier New" w:cs="Courier New" w:eastAsia="Courier New" w:hAnsi="Courier New"/>
          <w:sz w:val="15"/>
          <w:szCs w:val="15"/>
          <w:color w:val="auto"/>
        </w:rPr>
        <w:t>Facsimile No:</w:t>
      </w:r>
      <w:r>
        <w:rPr>
          <w:sz w:val="20"/>
          <w:szCs w:val="20"/>
          <w:color w:val="auto"/>
        </w:rPr>
        <w:tab/>
      </w:r>
      <w:r>
        <w:rPr>
          <w:rFonts w:ascii="Courier New" w:cs="Courier New" w:eastAsia="Courier New" w:hAnsi="Courier New"/>
          <w:sz w:val="14"/>
          <w:szCs w:val="14"/>
          <w:color w:val="auto"/>
        </w:rPr>
        <w:t>408-731-8674</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This Adjustment Notice is given pursuant to the terms of the Common Stock Purchase Warrant, Class A, dated July 31, 2000, issued by STEMCELLS, INC., a Delaware corporation (the "Warrant"). Capitalized terms used herein and not otherwise defined herein have the respective meanings provided in the Warrant. Attached hereto is a copy of the spreadsheet used pursuant to Section 1.3(e) of the Warrant to prepare this notice. The undersigned Holder hereby notifies the Company as follows:</w:t>
      </w:r>
    </w:p>
    <w:p>
      <w:pPr>
        <w:spacing w:after="0" w:line="347" w:lineRule="exact"/>
        <w:rPr>
          <w:sz w:val="20"/>
          <w:szCs w:val="20"/>
          <w:color w:val="auto"/>
        </w:rPr>
      </w:pPr>
    </w:p>
    <w:p>
      <w:pPr>
        <w:ind w:left="2580" w:hanging="620"/>
        <w:spacing w:after="0"/>
        <w:tabs>
          <w:tab w:leader="none" w:pos="25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Date:</w:t>
      </w:r>
    </w:p>
    <w:p>
      <w:pPr>
        <w:spacing w:after="0" w:line="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580" w:right="3259" w:hanging="620"/>
        <w:spacing w:after="0"/>
        <w:tabs>
          <w:tab w:leader="none" w:pos="258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number of Adjustment Shares ("AS") pursuant to Section 1.3(a):</w:t>
      </w:r>
    </w:p>
    <w:p>
      <w:pPr>
        <w:spacing w:after="0" w:line="174" w:lineRule="exact"/>
        <w:rPr>
          <w:sz w:val="20"/>
          <w:szCs w:val="20"/>
          <w:color w:val="auto"/>
        </w:rPr>
      </w:pPr>
    </w:p>
    <w:p>
      <w:pPr>
        <w:ind w:left="2580" w:hanging="620"/>
        <w:spacing w:after="0"/>
        <w:tabs>
          <w:tab w:leader="none" w:pos="25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Shares Held as of prior Adjustment Date:</w:t>
      </w:r>
    </w:p>
    <w:p>
      <w:pPr>
        <w:spacing w:after="0" w:line="175" w:lineRule="exact"/>
        <w:rPr>
          <w:rFonts w:ascii="Courier New" w:cs="Courier New" w:eastAsia="Courier New" w:hAnsi="Courier New"/>
          <w:sz w:val="15"/>
          <w:szCs w:val="15"/>
          <w:color w:val="auto"/>
        </w:rPr>
      </w:pPr>
    </w:p>
    <w:p>
      <w:pPr>
        <w:ind w:left="2580" w:right="3439" w:hanging="620"/>
        <w:spacing w:after="0" w:line="267" w:lineRule="auto"/>
        <w:tabs>
          <w:tab w:leader="none" w:pos="25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Average Market Price, the ten lowest Market Prices during the 30 Trading Days during the Measurement Period were as follows:</w:t>
      </w:r>
    </w:p>
    <w:p>
      <w:pPr>
        <w:sectPr>
          <w:pgSz w:w="11900" w:h="16838" w:orient="portrait"/>
          <w:cols w:equalWidth="0" w:num="1">
            <w:col w:w="10219"/>
          </w:cols>
          <w:pgMar w:left="240" w:top="805" w:right="1440" w:bottom="1440" w:gutter="0" w:footer="0" w:header="0"/>
        </w:sectPr>
      </w:pPr>
    </w:p>
    <w:p>
      <w:pPr>
        <w:spacing w:after="0" w:line="157"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400" w:space="720"/>
            <w:col w:w="800" w:space="640"/>
            <w:col w:w="520" w:space="720"/>
            <w:col w:w="4419"/>
          </w:cols>
          <w:pgMar w:left="240" w:top="805" w:right="1440" w:bottom="1440" w:gutter="0" w:footer="0" w:header="0"/>
          <w:type w:val="continuous"/>
        </w:sectPr>
      </w:pPr>
    </w:p>
    <w:p>
      <w:pPr>
        <w:spacing w:after="0" w:line="322" w:lineRule="exact"/>
        <w:rPr>
          <w:sz w:val="20"/>
          <w:szCs w:val="20"/>
          <w:color w:val="auto"/>
        </w:rPr>
      </w:pPr>
    </w:p>
    <w:p>
      <w:pPr>
        <w:ind w:left="2580" w:hanging="620"/>
        <w:spacing w:after="0"/>
        <w:tabs>
          <w:tab w:leader="none" w:pos="258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Lowest Average Market Price as of any previous</w:t>
      </w:r>
    </w:p>
    <w:p>
      <w:pPr>
        <w:spacing w:after="0" w:line="170" w:lineRule="exact"/>
        <w:rPr>
          <w:sz w:val="20"/>
          <w:szCs w:val="20"/>
          <w:color w:val="auto"/>
        </w:rPr>
      </w:pPr>
    </w:p>
    <w:p>
      <w:pPr>
        <w:ind w:left="2580"/>
        <w:spacing w:after="0"/>
        <w:tabs>
          <w:tab w:leader="none" w:pos="4980" w:val="left"/>
        </w:tabs>
        <w:rPr>
          <w:sz w:val="20"/>
          <w:szCs w:val="20"/>
          <w:color w:val="auto"/>
        </w:rPr>
      </w:pPr>
      <w:r>
        <w:rPr>
          <w:rFonts w:ascii="Courier New" w:cs="Courier New" w:eastAsia="Courier New" w:hAnsi="Courier New"/>
          <w:sz w:val="15"/>
          <w:szCs w:val="15"/>
          <w:color w:val="auto"/>
        </w:rPr>
        <w:t>Adjustment Date: $</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960"/>
        <w:spacing w:after="0"/>
        <w:tabs>
          <w:tab w:leader="none" w:pos="256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Adjustment Shares:</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2580" w:right="4059" w:hanging="620"/>
        <w:spacing w:after="0"/>
        <w:tabs>
          <w:tab w:leader="none" w:pos="25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Number on preceding Adjustment Date:</w:t>
      </w:r>
    </w:p>
    <w:p>
      <w:pPr>
        <w:spacing w:after="0" w:line="2" w:lineRule="exact"/>
        <w:rPr>
          <w:rFonts w:ascii="Courier New" w:cs="Courier New" w:eastAsia="Courier New" w:hAnsi="Courier New"/>
          <w:sz w:val="15"/>
          <w:szCs w:val="15"/>
          <w:color w:val="auto"/>
        </w:rPr>
      </w:pPr>
    </w:p>
    <w:p>
      <w:pPr>
        <w:ind w:left="30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580" w:right="3159" w:hanging="620"/>
        <w:spacing w:after="0"/>
        <w:tabs>
          <w:tab w:leader="none" w:pos="25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issued upon exercises during last Quarterly Period:</w:t>
      </w:r>
    </w:p>
    <w:p>
      <w:pPr>
        <w:spacing w:after="0" w:line="2" w:lineRule="exact"/>
        <w:rPr>
          <w:rFonts w:ascii="Courier New" w:cs="Courier New" w:eastAsia="Courier New" w:hAnsi="Courier New"/>
          <w:sz w:val="15"/>
          <w:szCs w:val="15"/>
          <w:color w:val="auto"/>
        </w:rPr>
      </w:pPr>
    </w:p>
    <w:p>
      <w:pPr>
        <w:ind w:left="3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2580" w:hanging="620"/>
        <w:spacing w:after="0"/>
        <w:tabs>
          <w:tab w:leader="none" w:pos="25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Specified Number on Adjustment Date:</w:t>
      </w:r>
    </w:p>
    <w:p>
      <w:pPr>
        <w:spacing w:after="0" w:line="2" w:lineRule="exact"/>
        <w:rPr>
          <w:rFonts w:ascii="Courier New" w:cs="Courier New" w:eastAsia="Courier New" w:hAnsi="Courier New"/>
          <w:sz w:val="15"/>
          <w:szCs w:val="15"/>
          <w:color w:val="auto"/>
        </w:rPr>
      </w:pPr>
    </w:p>
    <w:p>
      <w:pPr>
        <w:ind w:left="5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805" w:right="1440" w:bottom="1440" w:gutter="0" w:footer="0" w:header="0"/>
          <w:type w:val="continuous"/>
        </w:sectPr>
      </w:pPr>
    </w:p>
    <w:bookmarkStart w:id="129" w:name="page130"/>
    <w:bookmarkEnd w:id="129"/>
    <w:p>
      <w:pPr>
        <w:ind w:left="3120"/>
        <w:spacing w:after="0"/>
        <w:rPr>
          <w:sz w:val="20"/>
          <w:szCs w:val="20"/>
          <w:color w:val="auto"/>
        </w:rPr>
      </w:pPr>
      <w:r>
        <w:rPr>
          <w:rFonts w:ascii="Courier New" w:cs="Courier New" w:eastAsia="Courier New" w:hAnsi="Courier New"/>
          <w:sz w:val="15"/>
          <w:szCs w:val="15"/>
          <w:color w:val="auto"/>
        </w:rPr>
        <w:t>NAME OF HOLDER: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ind w:left="440"/>
        <w:spacing w:after="0"/>
        <w:tabs>
          <w:tab w:leader="none" w:pos="3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805" w:right="1440" w:bottom="1440" w:gutter="0" w:footer="0" w:header="0"/>
        </w:sectPr>
      </w:pPr>
    </w:p>
    <w:bookmarkStart w:id="130" w:name="page131"/>
    <w:bookmarkEnd w:id="130"/>
    <w:p>
      <w:pPr>
        <w:ind w:right="3159"/>
        <w:spacing w:after="0" w:line="242" w:lineRule="auto"/>
        <w:rPr>
          <w:sz w:val="20"/>
          <w:szCs w:val="20"/>
          <w:color w:val="auto"/>
        </w:rPr>
      </w:pPr>
      <w:r>
        <w:rPr>
          <w:rFonts w:ascii="Courier New" w:cs="Courier New" w:eastAsia="Courier New" w:hAnsi="Courier New"/>
          <w:sz w:val="15"/>
          <w:szCs w:val="15"/>
          <w:color w:val="auto"/>
        </w:rPr>
        <w:t>NEITHER THESE SECURITIES NOR THE SECURITIES INTO WHICH THESE SECURITIES ARE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THE REGISTRATION REQUIREMENTS THEREUNDER AND IN COMPLIANCE WITH APPLICABLE STATE SECURITIES OR BLUE SKY LAWS.</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CALLABLE WARRANT</w:t>
      </w:r>
    </w:p>
    <w:p>
      <w:pPr>
        <w:spacing w:after="0" w:line="174" w:lineRule="exact"/>
        <w:rPr>
          <w:sz w:val="20"/>
          <w:szCs w:val="20"/>
          <w:color w:val="auto"/>
        </w:rPr>
      </w:pPr>
    </w:p>
    <w:p>
      <w:pPr>
        <w:spacing w:after="0"/>
        <w:tabs>
          <w:tab w:leader="none" w:pos="1580" w:val="left"/>
        </w:tabs>
        <w:rPr>
          <w:sz w:val="20"/>
          <w:szCs w:val="20"/>
          <w:color w:val="auto"/>
        </w:rPr>
      </w:pPr>
      <w:r>
        <w:rPr>
          <w:rFonts w:ascii="Courier New" w:cs="Courier New" w:eastAsia="Courier New" w:hAnsi="Courier New"/>
          <w:sz w:val="15"/>
          <w:szCs w:val="15"/>
          <w:color w:val="auto"/>
        </w:rPr>
        <w:t>Warrant No. CW-1</w:t>
      </w:r>
      <w:r>
        <w:rPr>
          <w:sz w:val="20"/>
          <w:szCs w:val="20"/>
          <w:color w:val="auto"/>
        </w:rPr>
        <w:tab/>
      </w:r>
      <w:r>
        <w:rPr>
          <w:rFonts w:ascii="Courier New" w:cs="Courier New" w:eastAsia="Courier New" w:hAnsi="Courier New"/>
          <w:sz w:val="14"/>
          <w:szCs w:val="14"/>
          <w:color w:val="auto"/>
        </w:rPr>
        <w:t>Dated: July 31, 2000</w:t>
      </w:r>
    </w:p>
    <w:p>
      <w:pPr>
        <w:spacing w:after="0" w:line="348"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STEMCELLS, INC., a Delaware corporation (the "Company"), hereby certifies that, for value received, MILLENNIUM PARTNERS, L.P., or its registered assigns ("Holder"), is entitled, subject to the terms set forth below, to purchase from the Company a total of 101,587 shares of common stock, $.01 par value per share (the "Common Stock"), of the Company (each such share, a "Warrant Share" and all such shares, the "Warrant Shares") at an exercise price equal to $4.7250 per share (as adjusted from time to time as provided in Section 9, the "Exercise Price"), at any time and from time to time from and after the date hereof and through and including July 31, 2005 (the "Expiration Date"), and subject to the following terms and conditions:</w:t>
      </w:r>
    </w:p>
    <w:p>
      <w:pPr>
        <w:spacing w:after="0" w:line="179" w:lineRule="exact"/>
        <w:rPr>
          <w:sz w:val="20"/>
          <w:szCs w:val="20"/>
          <w:color w:val="auto"/>
        </w:rPr>
      </w:pPr>
    </w:p>
    <w:p>
      <w:pPr>
        <w:ind w:right="3079" w:firstLine="1602"/>
        <w:spacing w:after="0" w:line="242" w:lineRule="auto"/>
        <w:tabs>
          <w:tab w:leader="none" w:pos="187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WARRANT.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and the Company shall not be affected by notice to the contrary.</w:t>
      </w:r>
    </w:p>
    <w:p>
      <w:pPr>
        <w:spacing w:after="0" w:line="175" w:lineRule="exact"/>
        <w:rPr>
          <w:rFonts w:ascii="Courier New" w:cs="Courier New" w:eastAsia="Courier New" w:hAnsi="Courier New"/>
          <w:sz w:val="15"/>
          <w:szCs w:val="15"/>
          <w:color w:val="auto"/>
        </w:rPr>
      </w:pPr>
    </w:p>
    <w:p>
      <w:pPr>
        <w:ind w:left="1880" w:hanging="278"/>
        <w:spacing w:after="0"/>
        <w:tabs>
          <w:tab w:leader="none" w:pos="18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OF TRANSFERS AND EXCHANGES.</w:t>
      </w:r>
    </w:p>
    <w:p>
      <w:pPr>
        <w:spacing w:after="0" w:line="175"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register the transfer of</w:t>
      </w:r>
    </w:p>
    <w:p>
      <w:pPr>
        <w:spacing w:after="0" w:line="1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any portion of this Warrant in the Warrant Register, upon surrender of this Warrant, with the Form of Assignment attached hereto duly completed and signed, to the Transfer Agent or to the Company at the office specified in or pursuant to Section 3(b). Upon any such registration or transfer, a new warrant to purchase Common Stock, in substantially the form of this Warrant (any such new warrant, a "New Warrant"), evidencing the portion of this Warrant so transferred shall be issued to the transferee and a New Warrant evidencing the remaining portion of this Warrant not so</w:t>
      </w:r>
    </w:p>
    <w:p>
      <w:pPr>
        <w:sectPr>
          <w:pgSz w:w="11900" w:h="16838" w:orient="portrait"/>
          <w:cols w:equalWidth="0" w:num="1">
            <w:col w:w="10219"/>
          </w:cols>
          <w:pgMar w:left="240" w:top="485" w:right="1440" w:bottom="1440" w:gutter="0" w:footer="0" w:header="0"/>
        </w:sectPr>
      </w:pPr>
    </w:p>
    <w:bookmarkStart w:id="131" w:name="page132"/>
    <w:bookmarkEnd w:id="131"/>
    <w:p>
      <w:pPr>
        <w:ind w:right="3159"/>
        <w:spacing w:after="0" w:line="267" w:lineRule="auto"/>
        <w:rPr>
          <w:sz w:val="20"/>
          <w:szCs w:val="20"/>
          <w:color w:val="auto"/>
        </w:rPr>
      </w:pPr>
      <w:r>
        <w:rPr>
          <w:rFonts w:ascii="Courier New" w:cs="Courier New" w:eastAsia="Courier New" w:hAnsi="Courier New"/>
          <w:sz w:val="14"/>
          <w:szCs w:val="14"/>
          <w:color w:val="auto"/>
        </w:rPr>
        <w:t>transferred, if any, shall be issued to the transferring Holder. The acceptance of the New Warrant by the transferee thereof shall be deemed the acceptance of such transferee of all of the rights and obligations of a holder of a Warrant.</w:t>
      </w:r>
    </w:p>
    <w:p>
      <w:pPr>
        <w:spacing w:after="0" w:line="159" w:lineRule="exact"/>
        <w:rPr>
          <w:sz w:val="20"/>
          <w:szCs w:val="20"/>
          <w:color w:val="auto"/>
        </w:rPr>
      </w:pPr>
    </w:p>
    <w:p>
      <w:pPr>
        <w:ind w:right="3259" w:firstLine="2407"/>
        <w:spacing w:after="0" w:line="242" w:lineRule="auto"/>
        <w:tabs>
          <w:tab w:leader="none" w:pos="322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is exchangeable, upon the surrender hereof by the Holder to the office of the Company specified in or pursuant to Section 3(b) for one or more New Warrants, evidencing in the aggregate the right to purchase the number of Warrant Shares which may then be purchased hereunder. Any such New Warrant will be dated the date of such exchange.</w:t>
      </w:r>
    </w:p>
    <w:p>
      <w:pPr>
        <w:spacing w:after="0" w:line="174" w:lineRule="exact"/>
        <w:rPr>
          <w:rFonts w:ascii="Courier New" w:cs="Courier New" w:eastAsia="Courier New" w:hAnsi="Courier New"/>
          <w:sz w:val="15"/>
          <w:szCs w:val="15"/>
          <w:color w:val="auto"/>
        </w:rPr>
      </w:pPr>
    </w:p>
    <w:p>
      <w:pPr>
        <w:ind w:left="1880" w:hanging="278"/>
        <w:spacing w:after="0"/>
        <w:tabs>
          <w:tab w:leader="none" w:pos="188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EXERCISE AND REDEMPTION OF WARRANTS.</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exercisable by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Holder on any business day before 5:00 P.M., New York City time, at any time and from time to time on or after the date hereof to and including the Expiration Date. At 5:00 P.M., New York City time on the Expiration Date, the portion of this Warrant not exercised prior thereto shall be and become void and of no value.</w:t>
      </w:r>
    </w:p>
    <w:p>
      <w:pPr>
        <w:spacing w:after="0" w:line="173"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2(b), 5 and 10, upon</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this Warrant, with the Form of Election to Purchase attached hereto duly completed and signed, to the Company at its address for notice set forth in Section 13 and upon payment of the Exercise Price multiplied by the number of Warrant Shares that the Holder intends to purchase hereunder, in the manner provided hereunder, all as specified by the Holder in the Form of Election to Purchase, the Company shall promptly (but in no event later than 3 business days after the Date of Exercise (as defined herein)) issue or cause to be issued and cause to be delivered to or upon the written order of the Holder and in such name or names as the Holder may designate, a certificate for the Warrant Shares issuable upon such exercise, free of restrictive legends except (i) either in the event that a registration statement covering the resale of the Warrant Shares and naming the Holder as a selling stockholder thereunder is not then effective or the Warrant Shares are not freely transferable without volume restrictions pursuant to Rule 144(k) promulgated under the Securities Act of 1933, as amended (the "Securities Act"), or (ii) if this Warrant shall have been issued pursuant to a written agreement between the original Holder and the Company, as required by such agreement. Any person so designated by the Holder to receive Warrant Shares shall be deemed to have become holder of record of such Warrant Shares as of the Date of Exercise of this Warrant.</w:t>
      </w:r>
    </w:p>
    <w:p>
      <w:pPr>
        <w:spacing w:after="0" w:line="185" w:lineRule="exact"/>
        <w:rPr>
          <w:sz w:val="20"/>
          <w:szCs w:val="20"/>
          <w:color w:val="auto"/>
        </w:rPr>
      </w:pPr>
    </w:p>
    <w:p>
      <w:pPr>
        <w:ind w:right="3159" w:firstLine="2415"/>
        <w:spacing w:after="0" w:line="242" w:lineRule="auto"/>
        <w:rPr>
          <w:sz w:val="20"/>
          <w:szCs w:val="20"/>
          <w:color w:val="auto"/>
        </w:rPr>
      </w:pPr>
      <w:r>
        <w:rPr>
          <w:rFonts w:ascii="Courier New" w:cs="Courier New" w:eastAsia="Courier New" w:hAnsi="Courier New"/>
          <w:sz w:val="15"/>
          <w:szCs w:val="15"/>
          <w:color w:val="auto"/>
        </w:rPr>
        <w:t>A "Date of Exercise" means the date on which the Company shall have received (i) this Warrant (or any New Warrant, as applicable), with the Form of Election to Purchase attached hereto (or attached to such New Warrant) appropriately completed and duly signed, and (ii) payment of the Exercise Price for the number of Warrant Shares so indicated by the holder hereof to be purchased.</w:t>
      </w:r>
    </w:p>
    <w:p>
      <w:pPr>
        <w:spacing w:after="0" w:line="176" w:lineRule="exact"/>
        <w:rPr>
          <w:sz w:val="20"/>
          <w:szCs w:val="20"/>
          <w:color w:val="auto"/>
        </w:rPr>
      </w:pPr>
    </w:p>
    <w:p>
      <w:pPr>
        <w:ind w:left="3220" w:hanging="813"/>
        <w:spacing w:after="0"/>
        <w:tabs>
          <w:tab w:leader="none" w:pos="322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Warrant shall be exercisable, either in</w:t>
      </w:r>
    </w:p>
    <w:p>
      <w:pPr>
        <w:spacing w:after="0" w:line="1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its entirety or, from time to time, for a portion of the number of Warrant Shares. If less than all of the Warrant Shares which may be purchased under this Warrant are exercised at any time, the Company shall issue or cause to be issued, at its expense, a New Warrant evidencing the right to purchase the remaining number of Warrant Shares for which no exercise has been evidenced by this Warrant.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32" w:name="page133"/>
    <w:bookmarkEnd w:id="132"/>
    <w:p>
      <w:pPr>
        <w:ind w:left="3220" w:hanging="813"/>
        <w:spacing w:after="0"/>
        <w:tabs>
          <w:tab w:leader="none" w:pos="322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delivering physical certificates</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representing the Warrant Shares issuable upon conversion of this Warrant, provided the Company's transfer agent is participating in the Depository Trust Company ("DTC") Fast Automated Securities Transfer ("FAST") program, upon request of the Holder, the Company shall use its best efforts to cause its transfer agent to electronically transmit the Warrant Shares issuable upon exercise to the Holder, by crediting the account of the Holder's prime broker with DTC through its Deposit Withdrawal Agent Commission ("DWAC") system. The time periods for delivery described above shall apply to the electronic transmittals through the DWAC system. The Company agrees to coordinate with DTC to accomplish this objective.</w:t>
      </w:r>
    </w:p>
    <w:p>
      <w:pPr>
        <w:spacing w:after="0" w:line="178"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Commencing at any time after the date of the</w:t>
      </w:r>
    </w:p>
    <w:p>
      <w:pPr>
        <w:spacing w:after="0" w:line="1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issuance of this Warrant, the Company shall have the right, upon fifteen (15) days notice to the Holder, to cancel this Warrant in full effective on such 15th day (the "Cancellation Date"). The Holder may exercise this Warrant at any time prior to the Cancellation Date. On the Cancellation Date, the Company shall pay in full and complete satisfaction of its obligations under the remaining portion of this Warrant to the Holder an amount in cash equal to (i) the number of shares of Common Stock then issuable hereunder multiplied by (ii) $7.875, as such number shall be appropriately adjusted for stock splits, recapitalizations and similar events minus the applicable Exercise Price as of the Cancellation Date, and the Holder shall surrender this Warrant to the Company for cancellation.</w:t>
      </w:r>
    </w:p>
    <w:p>
      <w:pPr>
        <w:spacing w:after="0" w:line="179" w:lineRule="exact"/>
        <w:rPr>
          <w:rFonts w:ascii="Courier New" w:cs="Courier New" w:eastAsia="Courier New" w:hAnsi="Courier New"/>
          <w:sz w:val="14"/>
          <w:szCs w:val="14"/>
          <w:color w:val="auto"/>
        </w:rPr>
      </w:pPr>
    </w:p>
    <w:p>
      <w:pPr>
        <w:ind w:right="3079" w:firstLine="1602"/>
        <w:spacing w:after="0" w:line="242" w:lineRule="auto"/>
        <w:tabs>
          <w:tab w:leader="none" w:pos="18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This Warrant and the Holder hereof are entitled to the benefits of, and subject to the terms and condition of and obligations under, that certain Registration Rights Agreement dated the date hereof between the Company and the original Holder (the "Registration Rights Agreement").</w:t>
      </w:r>
    </w:p>
    <w:p>
      <w:pPr>
        <w:spacing w:after="0" w:line="173" w:lineRule="exact"/>
        <w:rPr>
          <w:rFonts w:ascii="Courier New" w:cs="Courier New" w:eastAsia="Courier New" w:hAnsi="Courier New"/>
          <w:sz w:val="15"/>
          <w:szCs w:val="15"/>
          <w:color w:val="auto"/>
        </w:rPr>
      </w:pPr>
    </w:p>
    <w:p>
      <w:pPr>
        <w:ind w:left="1880" w:hanging="278"/>
        <w:spacing w:after="0"/>
        <w:tabs>
          <w:tab w:leader="none" w:pos="188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left blank.</w:t>
      </w:r>
    </w:p>
    <w:p>
      <w:pPr>
        <w:spacing w:after="0" w:line="175" w:lineRule="exact"/>
        <w:rPr>
          <w:rFonts w:ascii="Courier New" w:cs="Courier New" w:eastAsia="Courier New" w:hAnsi="Courier New"/>
          <w:sz w:val="15"/>
          <w:szCs w:val="15"/>
          <w:color w:val="auto"/>
        </w:rPr>
      </w:pPr>
    </w:p>
    <w:p>
      <w:pPr>
        <w:ind w:right="3159" w:firstLine="1602"/>
        <w:spacing w:after="0" w:line="242" w:lineRule="auto"/>
        <w:tabs>
          <w:tab w:leader="none" w:pos="18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The Company will pay all documentary stamp taxes attributable to the issuance of Warrant Shares upon the exercise of this Warrant; provided, however, that the Company shall not be required to pay any tax which may be payable in respect of any transfer involved in the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177" w:lineRule="exact"/>
        <w:rPr>
          <w:rFonts w:ascii="Courier New" w:cs="Courier New" w:eastAsia="Courier New" w:hAnsi="Courier New"/>
          <w:sz w:val="15"/>
          <w:szCs w:val="15"/>
          <w:color w:val="auto"/>
        </w:rPr>
      </w:pPr>
    </w:p>
    <w:p>
      <w:pPr>
        <w:ind w:right="3079" w:firstLine="1602"/>
        <w:spacing w:after="0" w:line="242" w:lineRule="auto"/>
        <w:tabs>
          <w:tab w:leader="none" w:pos="18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OF WARRANT.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indemnity, if requested, satisfactory to it. Applicants for a New Warrant under such circumstances shall also comply with such other reasonable regulations and procedures and pay such other reasonable charges as the Company may prescribe.</w:t>
      </w:r>
    </w:p>
    <w:p>
      <w:pPr>
        <w:spacing w:after="0" w:line="177" w:lineRule="exact"/>
        <w:rPr>
          <w:rFonts w:ascii="Courier New" w:cs="Courier New" w:eastAsia="Courier New" w:hAnsi="Courier New"/>
          <w:sz w:val="15"/>
          <w:szCs w:val="15"/>
          <w:color w:val="auto"/>
        </w:rPr>
      </w:pPr>
    </w:p>
    <w:p>
      <w:pPr>
        <w:ind w:right="3259" w:firstLine="1602"/>
        <w:spacing w:after="0" w:line="242" w:lineRule="auto"/>
        <w:tabs>
          <w:tab w:leader="none" w:pos="187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WARRANT SHARES. The Company covenants that it will at all times reserve and keep available out of the aggregate of its authorized but unissued Common Stock, solely for the purpose of enabling it to issue Warrant Shares upon exercise of this Warrant</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133" w:name="page134"/>
    <w:bookmarkEnd w:id="133"/>
    <w:p>
      <w:pPr>
        <w:ind w:right="3159"/>
        <w:spacing w:after="0" w:line="242" w:lineRule="auto"/>
        <w:rPr>
          <w:sz w:val="20"/>
          <w:szCs w:val="20"/>
          <w:color w:val="auto"/>
        </w:rPr>
      </w:pPr>
      <w:r>
        <w:rPr>
          <w:rFonts w:ascii="Courier New" w:cs="Courier New" w:eastAsia="Courier New" w:hAnsi="Courier New"/>
          <w:sz w:val="15"/>
          <w:szCs w:val="15"/>
          <w:color w:val="auto"/>
        </w:rPr>
        <w:t>as herein provided, the number of Warrant Shares which are then issuable and deliverable upon the exercise of this entire Warrant, free from preemptive rights or any other actual contingent purchase rights of persons other than the Holder (taking into account the adjustments and restrictions of Section 9). The Company covenants that all Warrant Shares that shall be so issuable and deliverable shall, upon issuance and the payment of the applicable Exercise Price in accordance with the terms hereof, be duly and validly authorized, issued and fully paid and nonassessable.</w:t>
      </w:r>
    </w:p>
    <w:p>
      <w:pPr>
        <w:spacing w:after="0" w:line="177" w:lineRule="exact"/>
        <w:rPr>
          <w:sz w:val="20"/>
          <w:szCs w:val="20"/>
          <w:color w:val="auto"/>
        </w:rPr>
      </w:pPr>
    </w:p>
    <w:p>
      <w:pPr>
        <w:ind w:right="3079" w:firstLine="1602"/>
        <w:spacing w:after="0" w:line="242" w:lineRule="auto"/>
        <w:tabs>
          <w:tab w:leader="none" w:pos="187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ADJUSTMENTS. The Exercise Price and number of Warrant Shares issuable upon exercise of this Warrant are subject to adjustment from time to time as set forth in this Section. Upon each such adjustment of the Exercise Price pursuant to this Section, the Holder shall thereafter prior to the Expiration Date be entitled to purchase, at the Exercise Price resulting from such adjustment, the number of Warrant Shares obtained by multiplying the Exercise Price in effect immediately prior to such adjustment by the number of Warrant Shares issuable upon exercise of this Warrant immediately prior to such adjustment and dividing the product thereof by the Exercise Price resulting from such adjustment.</w:t>
      </w:r>
    </w:p>
    <w:p>
      <w:pPr>
        <w:spacing w:after="0" w:line="178" w:lineRule="exact"/>
        <w:rPr>
          <w:rFonts w:ascii="Courier New" w:cs="Courier New" w:eastAsia="Courier New" w:hAnsi="Courier New"/>
          <w:sz w:val="15"/>
          <w:szCs w:val="15"/>
          <w:color w:val="auto"/>
        </w:rPr>
      </w:pPr>
    </w:p>
    <w:p>
      <w:pPr>
        <w:ind w:right="3079" w:firstLine="2407"/>
        <w:spacing w:after="0" w:line="242" w:lineRule="auto"/>
        <w:tabs>
          <w:tab w:leader="none" w:pos="32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at any time while this Warrant is outstanding, (i) shall pay a stock dividend or otherwise make a distribution or distributions on shares of its Common Stock or on any other class of capital stock payable in shares of Common Stock (except dividends or distributions paid on preferred or other senior stock), (ii) subdivide outstanding shares of Common Stock into a larger number of shares, or (iii) combine outstanding shares of Common Stock into a smaller number of shares, the Exercise Price shall be multiplied by a fraction of which the numerator shall be the number of shares of Common Stock (excluding treasury shares, if any) outstanding before such event and of which the denominator shall be the number of shares of Common Stock (excluding treasury shares, if any) outstanding after such event. Any adjustment made pursuant to this Section shall become effective immediately after the record date for the determination of stockholders entitled to receive such dividend or distribution and shall become effective immediately after the effective date in the case of a subdivision or combination, and shall apply to successive subdivisions and combinations.</w:t>
      </w:r>
    </w:p>
    <w:p>
      <w:pPr>
        <w:spacing w:after="0" w:line="181"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of any reclassification of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or any compulsory share exchange pursuant to which the Common Stock is converted into other securities, cash or property, then the Holder shall have the right thereafter to exercise this Warrant only into the shares of stock and other securities and property receivable upon or deemed to be held by holders of Common Stock following such reclassification or share exchange, and the Holder shall be entitled upon such event to receive such amount of securities or property as such Holder would have been entitled to receive if such Holder had exercised this Warrant immediately prior to such reclassification or share exchange (net of the applicable Exercise Price). The terms of any such reclassification or share exchange shall include such terms so as to continue to give to the Holder the right to receive the securities or property set forth in this Section 9(b) upon any exercise following any such reclassification or share exchange.</w:t>
      </w:r>
    </w:p>
    <w:p>
      <w:pPr>
        <w:spacing w:after="0" w:line="179"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at any time while this</w:t>
      </w:r>
    </w:p>
    <w:p>
      <w:pPr>
        <w:spacing w:after="0" w:line="3" w:lineRule="exact"/>
        <w:rPr>
          <w:rFonts w:ascii="Courier New" w:cs="Courier New" w:eastAsia="Courier New" w:hAnsi="Courier New"/>
          <w:sz w:val="15"/>
          <w:szCs w:val="15"/>
          <w:color w:val="auto"/>
        </w:rPr>
      </w:pPr>
    </w:p>
    <w:p>
      <w:pPr>
        <w:jc w:val="both"/>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is outstanding, shall distribute to all holders of Common Stock (and not to holders of this Warrant) evidences of its indebtedness or assets or rights or warrants to subscribe for or purchase any security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134" w:name="page135"/>
    <w:bookmarkEnd w:id="134"/>
    <w:p>
      <w:pPr>
        <w:ind w:right="3079"/>
        <w:spacing w:after="0" w:line="242" w:lineRule="auto"/>
        <w:rPr>
          <w:sz w:val="20"/>
          <w:szCs w:val="20"/>
          <w:color w:val="auto"/>
        </w:rPr>
      </w:pPr>
      <w:r>
        <w:rPr>
          <w:rFonts w:ascii="Courier New" w:cs="Courier New" w:eastAsia="Courier New" w:hAnsi="Courier New"/>
          <w:sz w:val="15"/>
          <w:szCs w:val="15"/>
          <w:color w:val="auto"/>
        </w:rPr>
        <w:t>(excluding those referred to in Sections 9(a), (b) and (d)), then in each such case the Exercise Price shall be determined by multiplying the Exercise Price in effect immediately prior to the record date fixed for determination of stockholders entitled to receive such distribution by a fraction of which the denominator shall be the Exercise Price determined as of the record date mentioned above, and of which the numerator shall be such Exercise Price on such record date less the then fair market value at such record date of the portion of such assets or evidence of indebtedness so distributed applicable to one outstanding share of Common Stock as determined by the Company's independent certified public accountants that regularly examine the financial statements of the Company (an "Appraiser").</w:t>
      </w:r>
    </w:p>
    <w:p>
      <w:pPr>
        <w:spacing w:after="0" w:line="179" w:lineRule="exact"/>
        <w:rPr>
          <w:sz w:val="20"/>
          <w:szCs w:val="20"/>
          <w:color w:val="auto"/>
        </w:rPr>
      </w:pPr>
    </w:p>
    <w:p>
      <w:pPr>
        <w:ind w:left="3220" w:hanging="813"/>
        <w:spacing w:after="0"/>
        <w:tabs>
          <w:tab w:leader="none" w:pos="322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at any time the Company or any subsidiary</w:t>
      </w:r>
    </w:p>
    <w:p>
      <w:pPr>
        <w:spacing w:after="0" w:line="13" w:lineRule="exact"/>
        <w:rPr>
          <w:rFonts w:ascii="Courier New" w:cs="Courier New" w:eastAsia="Courier New" w:hAnsi="Courier New"/>
          <w:sz w:val="14"/>
          <w:szCs w:val="14"/>
          <w:color w:val="auto"/>
        </w:rPr>
      </w:pPr>
    </w:p>
    <w:p>
      <w:pPr>
        <w:ind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as applicable with respect to Common Stock Equivalents (as defined below), shall issue shares of Common Stock or rights, warrants, options or other securities or debt that is convertible into or exchangeable for shares of Common Stock ("COMMON STOCK EQUIVALENTS"), entitling any person or entity to acquire shares of Common Stock at a price per share less than the market price of the Common Stock at the time of issuance, except with respect to a Board Approved Transaction (as defined herein), forthwith upon such issue or sale, the Exercise Price shall be reduced to the price (calculated to the nearest cent) determined by multiplying the Exercise Price in effect immediately prior thereto by a fraction, the numerator of which shall be the sum of (i) the number of shares of Common Stock outstanding immediately prior to such issuance, and (ii) the number of shares of Common Stock which the aggregate consideration received (or to be received, assuming exercise or conversion in full of such Common Stock Equivalents) for the issuance of such additional shares of Common Stock would purchase at the Exercise Price, and the denominator of which shall be the sum of the number of shares of Common Stock outstanding immediately after the issuance of such additional shares. For purposes hereof, all shares of Common Stock that are issuable upon conversion, exercise or exchange of Common Stock Equivalents shall be deemed outstanding immediately after the issuance of such Common Stock Equivalents. Such adjustment shall be made whenever such Common Stock or Common Stock Equivalents are issued. However, upon the expiration of any Common Stock Equivalents the issuance of which resulted in an adjustment in the Exercise Price pursuant to this Section, the Exercise Price shall immediately upon such expiration be recomputed and effective immediately upon such expiration be increased to the price which it would have been (but reflecting any other adjustments in the Exercise Price made pursuant to the provisions of this Section after the issuance of such Common Stock Equivalents) had the adjustment of the Exercise Price made upon the issuance of such Common Stock Equivalents been made on the basis of offering for subscription or purchase only that number of shares of the Common Stock actually purchased upon the exercise of such Common Stock Equivalents actually exercised. Notwithstanding anything herein to the contrary, issuances of any stock or stock options under any bona fide employee benefit plan or compensation arrangement of the Company, shall not be subject to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159" w:firstLine="2415"/>
        <w:spacing w:after="0" w:line="242" w:lineRule="auto"/>
        <w:rPr>
          <w:sz w:val="20"/>
          <w:szCs w:val="20"/>
          <w:color w:val="auto"/>
        </w:rPr>
      </w:pPr>
      <w:r>
        <w:rPr>
          <w:rFonts w:ascii="Courier New" w:cs="Courier New" w:eastAsia="Courier New" w:hAnsi="Courier New"/>
          <w:sz w:val="15"/>
          <w:szCs w:val="15"/>
          <w:color w:val="auto"/>
        </w:rPr>
        <w:t>A "Board Approved Transaction" is a transaction involving a strategic alliance, acquisition of stock or assets, merger, collaboration, joint venture, partnership or similar arrangement of the Company with another corporation, partnership or other business entity (A) which is engaged in a business similar complementary or related to the business of the Company or (B) pursuant to which the Company issues securities with the primary purpose to directly or indirectly acquire, license or otherwise become entitled to use technology relevant to or useful in</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135" w:name="page136"/>
    <w:bookmarkEnd w:id="135"/>
    <w:p>
      <w:pPr>
        <w:ind w:right="3159"/>
        <w:spacing w:after="0" w:line="241" w:lineRule="auto"/>
        <w:rPr>
          <w:sz w:val="20"/>
          <w:szCs w:val="20"/>
          <w:color w:val="auto"/>
        </w:rPr>
      </w:pPr>
      <w:r>
        <w:rPr>
          <w:rFonts w:ascii="Courier New" w:cs="Courier New" w:eastAsia="Courier New" w:hAnsi="Courier New"/>
          <w:sz w:val="15"/>
          <w:szCs w:val="15"/>
          <w:color w:val="auto"/>
        </w:rPr>
        <w:t>the Company's business, so long as the Company's Board of Directors by resolution duly adopted approves such transaction in accordance with its duties under applicable law.</w:t>
      </w:r>
    </w:p>
    <w:p>
      <w:pPr>
        <w:spacing w:after="0" w:line="176" w:lineRule="exact"/>
        <w:rPr>
          <w:sz w:val="20"/>
          <w:szCs w:val="20"/>
          <w:color w:val="auto"/>
        </w:rPr>
      </w:pPr>
    </w:p>
    <w:p>
      <w:pPr>
        <w:ind w:right="3079" w:firstLine="2407"/>
        <w:spacing w:after="0" w:line="260" w:lineRule="auto"/>
        <w:tabs>
          <w:tab w:leader="none" w:pos="322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of any (1) merger or consolidation of the Company with or into another Person, or (2) sale by the Company of more than one-half of the assets of the Company (on a market value basis) in one or a series of related transactions, or (3) tender or other offer or exchange (whether by the Company or another Person) pursuant to which holders of Common Stock are permitted to tender or exchange their shares for other securities, stock, cash or property of the Company or another Person; then the Holder shall have the right thereafter to (A) exercise this Warrant for the shares of stock and other securities, cash and property receivable upon or deemed to be held by holders of Common Stock following such merger, consolidation or sale, and the Holder shall be entitled upon such event or series of related events to receive such amount of securities, cash and property as the Common Stock for which this Warrant could have been exercised immediately prior to such merger, consolidation or sales would have been entitled, (B) in the case of a merger or consolidation, require the surviving entity to issue to the Holder a warrant entitling the Holder to acquire shares of such entity's common stock, which warrant shall have terms identical MUTATIS MUTANDIS (including with respect to exercise) to the terms of this Warrant and shall be entitled to all of the rights and privileges set forth herein and the agreements pursuant to which this Warrant was issued (including, without limitation, as such rights relate to the acquisition, transferability, registration and listing of such shares of stock or other securities issuable upon exercise thereof), or (C) in the event of an exchange or tender offer or other transaction contemplated by clause (3) of this Section 9(e), tender or exchange this Warrant for such securities, stock, cash and other property receivable upon or deemed to be held by holders of Common Stock that have tendered or exchanged their shares of Common Stock following such tender or exchange, and the Holder shall be entitled upon such exchange or tender to receive such amount of securities, cash and property as the shares of Common Stock for which this Warrant could have been exercised immediately prior to such tender or exchange would have been entitled as would have been issued (net of the applicable Exercise Price). In the case of clause (B), the exercise price applicable for the newly issued warrant shall be based upon the amount of securities, cash and property that each share of Common Stock would receive in such transaction and the Exercise Price immediately prior to the effectiveness or closing date for such transaction. The terms of any such merger, sale, consolidation, tender or exchange shall include such terms so as continue to give the Holder the right to receive the securities, cash and property set forth in this Section upon any conversion or exercise following such event. This provision shall similarly apply to successive such events.</w:t>
      </w:r>
    </w:p>
    <w:p>
      <w:pPr>
        <w:spacing w:after="0" w:line="200" w:lineRule="exact"/>
        <w:rPr>
          <w:rFonts w:ascii="Courier New" w:cs="Courier New" w:eastAsia="Courier New" w:hAnsi="Courier New"/>
          <w:sz w:val="14"/>
          <w:szCs w:val="14"/>
          <w:color w:val="auto"/>
        </w:rPr>
      </w:pPr>
    </w:p>
    <w:p>
      <w:pPr>
        <w:spacing w:after="0" w:line="321" w:lineRule="exact"/>
        <w:rPr>
          <w:rFonts w:ascii="Courier New" w:cs="Courier New" w:eastAsia="Courier New" w:hAnsi="Courier New"/>
          <w:sz w:val="14"/>
          <w:szCs w:val="14"/>
          <w:color w:val="auto"/>
        </w:rPr>
      </w:pPr>
    </w:p>
    <w:p>
      <w:pPr>
        <w:ind w:left="3220" w:hanging="813"/>
        <w:spacing w:after="0"/>
        <w:tabs>
          <w:tab w:leader="none" w:pos="32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9,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clauses shall also be applicable:</w:t>
      </w:r>
    </w:p>
    <w:p>
      <w:pPr>
        <w:spacing w:after="0" w:line="174" w:lineRule="exact"/>
        <w:rPr>
          <w:rFonts w:ascii="Courier New" w:cs="Courier New" w:eastAsia="Courier New" w:hAnsi="Courier New"/>
          <w:sz w:val="15"/>
          <w:szCs w:val="15"/>
          <w:color w:val="auto"/>
        </w:rPr>
      </w:pPr>
    </w:p>
    <w:p>
      <w:pPr>
        <w:ind w:left="3920" w:hanging="708"/>
        <w:spacing w:after="0"/>
        <w:tabs>
          <w:tab w:leader="none" w:pos="3920"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In case the  Company</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take a record of the holders of its Common Stock for the purpose of entitling them (A) to receive a dividend or other distribution payable in Common Stock or in securities convertible or exchangeable into shares of Common Stock, or (B) to subscribe for or purchase Common Stock or securities convertible or exchangeable into shares of Common Stock, then such record date shall be deemed to be the date of the issue or sale of the shares of Common Stock deemed to have been issued or sold upon the declaration of such dividend or the making of such other distribution or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4" w:right="1440" w:bottom="1440" w:gutter="0" w:footer="0" w:header="0"/>
        </w:sectPr>
      </w:pPr>
    </w:p>
    <w:bookmarkStart w:id="136" w:name="page137"/>
    <w:bookmarkEnd w:id="136"/>
    <w:p>
      <w:pPr>
        <w:ind w:right="3159"/>
        <w:spacing w:after="0"/>
        <w:rPr>
          <w:sz w:val="20"/>
          <w:szCs w:val="20"/>
          <w:color w:val="auto"/>
        </w:rPr>
      </w:pPr>
      <w:r>
        <w:rPr>
          <w:rFonts w:ascii="Courier New" w:cs="Courier New" w:eastAsia="Courier New" w:hAnsi="Courier New"/>
          <w:sz w:val="15"/>
          <w:szCs w:val="15"/>
          <w:color w:val="auto"/>
        </w:rPr>
        <w:t>the date of the granting of such right of subscription or purchase, as the case may be.</w:t>
      </w:r>
    </w:p>
    <w:p>
      <w:pPr>
        <w:spacing w:after="0" w:line="176" w:lineRule="exact"/>
        <w:rPr>
          <w:sz w:val="20"/>
          <w:szCs w:val="20"/>
          <w:color w:val="auto"/>
        </w:rPr>
      </w:pPr>
    </w:p>
    <w:p>
      <w:pPr>
        <w:ind w:right="3259" w:firstLine="3212"/>
        <w:spacing w:after="0" w:line="242" w:lineRule="auto"/>
        <w:tabs>
          <w:tab w:leader="none" w:pos="3936" w:val="left"/>
        </w:tabs>
        <w:numPr>
          <w:ilvl w:val="2"/>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SHARES. The number of shares of Common Stock outstanding at any given time shall not include shares owned or held by or for the account of the Company, and the disposition of any such shares shall be considered an issue or sale of Common Stock.</w:t>
      </w:r>
    </w:p>
    <w:p>
      <w:pPr>
        <w:spacing w:after="0" w:line="174" w:lineRule="exact"/>
        <w:rPr>
          <w:rFonts w:ascii="Courier New" w:cs="Courier New" w:eastAsia="Courier New" w:hAnsi="Courier New"/>
          <w:sz w:val="15"/>
          <w:szCs w:val="15"/>
          <w:color w:val="auto"/>
        </w:rPr>
      </w:pPr>
    </w:p>
    <w:p>
      <w:pPr>
        <w:ind w:right="3159" w:firstLine="2407"/>
        <w:spacing w:after="0" w:line="241" w:lineRule="auto"/>
        <w:tabs>
          <w:tab w:leader="none" w:pos="32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calculations under this Section 9 shall be made to the nearest cent or the nearest 1/100th of a share, as the case may be.</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the Company shall declare a dividend</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any other distribution) on its Common Stock; or (ii) the Company shall declare a special nonrecurring cash dividend on or a redemption of its Common Stock; or (iii) the Company shall authorize the granting to all holders of the Common Stock rights or warrants to subscribe for or purchase any shares of capital stock of any class or of any rights; or (iv)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(v) the Company shall authorize the voluntary dissolution, liquidation or winding up of the affairs of the Company, then the Company shall cause to be mailed to each Holder at their last addresses as they shall appear upon the Warrant Register, at least 30 calendar days prior to the applicable record or effective date hereinafter specified, a notice stating (x) the date on which a record is to be taken for the purpose of such dividend, distribution, redemption, grant of rights or warrants, or if a record is not to be taken, the date as of which the holders of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Common Stock of record shall be entitled to exchange their shares of Common Stock for securities, cash or other property deliverable upon such reclassification, consolidation, merger, sale, transfer, share exchange, dissolution, liquidation or winding up; provided, however, that the failure to mail such notice or any defect therein or in the mailing thereof shall not affect the validity of the corporate action required to be specified in such notice.</w:t>
      </w:r>
    </w:p>
    <w:p>
      <w:pPr>
        <w:spacing w:after="0" w:line="191" w:lineRule="exact"/>
        <w:rPr>
          <w:rFonts w:ascii="Courier New" w:cs="Courier New" w:eastAsia="Courier New" w:hAnsi="Courier New"/>
          <w:sz w:val="15"/>
          <w:szCs w:val="15"/>
          <w:color w:val="auto"/>
        </w:rPr>
      </w:pPr>
    </w:p>
    <w:p>
      <w:pPr>
        <w:ind w:right="3699" w:firstLine="1602"/>
        <w:spacing w:after="0"/>
        <w:tabs>
          <w:tab w:leader="none" w:pos="1968"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Holder shall pay the Exercise Price in one of the following manners:</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EXERCISE. The Holder may deliver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available funds; or</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CASHLESS EXERCISE. At any time after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earlier to occur of the SEC Effective Date (as defined in the Registration Rights Agreement) and the date the initial registration statement filed pursuant to the Registration Rights Agreement is declared effective by the Commission, when a registration statement covering the resale of the Warrant Shares and naming the Holder as a selling stockholder thereunder is not then effective, the Holder may surrender this Warrant to the Company together with a notice of cashless exercise, in which</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137" w:name="page138"/>
    <w:bookmarkEnd w:id="137"/>
    <w:p>
      <w:pPr>
        <w:ind w:right="3779"/>
        <w:spacing w:after="0"/>
        <w:rPr>
          <w:sz w:val="20"/>
          <w:szCs w:val="20"/>
          <w:color w:val="auto"/>
        </w:rPr>
      </w:pPr>
      <w:r>
        <w:rPr>
          <w:rFonts w:ascii="Courier New" w:cs="Courier New" w:eastAsia="Courier New" w:hAnsi="Courier New"/>
          <w:sz w:val="15"/>
          <w:szCs w:val="15"/>
          <w:color w:val="auto"/>
        </w:rPr>
        <w:t>event the Company shall issue to the Holder the number of Warrant Shares determined as follows:</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X = Y [(A-B)/A]</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where: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X = the number of Warrant Shares to be issued</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to the Holder.</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Y = the number of Warrant Shares with respect to</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which this Warrant is being exercised.</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 = the average of the closing sale prices of the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Common Stock for the five (5) trading days</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immediately prior to (but not including) the Date of</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Exercise.</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B = the Exercise Price.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been commenced, on the issue date of this Warrant.</w:t>
      </w:r>
    </w:p>
    <w:p>
      <w:pPr>
        <w:spacing w:after="0" w:line="174" w:lineRule="exact"/>
        <w:rPr>
          <w:sz w:val="20"/>
          <w:szCs w:val="20"/>
          <w:color w:val="auto"/>
        </w:rPr>
      </w:pPr>
    </w:p>
    <w:p>
      <w:pPr>
        <w:ind w:left="2400" w:hanging="798"/>
        <w:spacing w:after="0"/>
        <w:tabs>
          <w:tab w:leader="none" w:pos="24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EXERCISE RESTRICTIONS.</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w:t>
      </w:r>
    </w:p>
    <w:p>
      <w:pPr>
        <w:spacing w:after="0" w:line="3" w:lineRule="exact"/>
        <w:rPr>
          <w:rFonts w:ascii="Courier New" w:cs="Courier New" w:eastAsia="Courier New" w:hAnsi="Courier New"/>
          <w:sz w:val="15"/>
          <w:szCs w:val="15"/>
          <w:color w:val="auto"/>
        </w:rPr>
      </w:pPr>
    </w:p>
    <w:p>
      <w:pPr>
        <w:ind w:right="30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contained herein, the number of shares of Common Stock that may be acquired by the Holder upon exercise pursuant to the terms hereof shall not exceed a number that, when added to the total number of shares of Common Stock deemed beneficially owned by such Holder (other than by virtue of the ownership of securities or rights to acquire securities that have limitations on the Holder's right to convert, exercise or purchase similar to the limitation set forth herein), together with all shares of Common Stock deemed beneficially owned (other than by virtue of the ownership of securities or rights to acquire securities that have limitation set forth herein) by the Holder's "affiliates" (as defined in Rule 144 of the Securities Act) ("Aggregation Parties"), that would be aggregated for purposes of determining whether a group under Section 13(d) of the Securities Exchange Act of 1934, as amended, exists would exceed 9.99% of the total issued and outstanding shares of the Common Stock (the "Restricted Ownership Percentage"). Each Holder shall have the right (w) at any time and from time to time to reduce its Restricted Ownership Percentage immediately upon notice to the Company and (x) (subject to waiver) at any time and from time to time, to increase its Restricted Ownership Percentage immediately in the event of the announcement as pending or planned, of a merger or consolidation of the Company, a sale of all or substantially all of the assets of the Company or the acquisition by any third party (and/or such party's Aggregation Parties) of at least 51% of the Company's outstanding Common Stock.</w:t>
      </w:r>
    </w:p>
    <w:p>
      <w:pPr>
        <w:spacing w:after="0" w:line="333"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covenants at all times on each</w:t>
      </w:r>
    </w:p>
    <w:p>
      <w:pPr>
        <w:spacing w:after="0" w:line="3" w:lineRule="exact"/>
        <w:rPr>
          <w:rFonts w:ascii="Courier New" w:cs="Courier New" w:eastAsia="Courier New" w:hAnsi="Courier New"/>
          <w:sz w:val="15"/>
          <w:szCs w:val="15"/>
          <w:color w:val="auto"/>
        </w:rPr>
      </w:pPr>
    </w:p>
    <w:p>
      <w:pPr>
        <w:jc w:val="both"/>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day (each such day being referred to as a "Covenant Day") as follows: during the balance of such Covenant Day and the succeeding sixty-one (61) days (the balance of such Covenant Day and the succeeding 61</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38" w:name="page139"/>
    <w:bookmarkEnd w:id="138"/>
    <w:p>
      <w:pPr>
        <w:ind w:right="3259"/>
        <w:spacing w:after="0" w:line="242" w:lineRule="auto"/>
        <w:rPr>
          <w:sz w:val="20"/>
          <w:szCs w:val="20"/>
          <w:color w:val="auto"/>
        </w:rPr>
      </w:pPr>
      <w:r>
        <w:rPr>
          <w:rFonts w:ascii="Courier New" w:cs="Courier New" w:eastAsia="Courier New" w:hAnsi="Courier New"/>
          <w:sz w:val="15"/>
          <w:szCs w:val="15"/>
          <w:color w:val="auto"/>
        </w:rPr>
        <w:t>days being referred to as the "Covenant Period") such Holder will not acquire shares of Common Stock pursuant to any right (including exercise of this Warrant) existing at the commencement of the Covenant Period to the extent the number of shares so acquired by such Holder and its Aggregation Parties (ignoring all dispositions) would exceed:</w:t>
      </w:r>
    </w:p>
    <w:p>
      <w:pPr>
        <w:spacing w:after="0" w:line="347" w:lineRule="exact"/>
        <w:rPr>
          <w:sz w:val="20"/>
          <w:szCs w:val="20"/>
          <w:color w:val="auto"/>
        </w:rPr>
      </w:pPr>
    </w:p>
    <w:p>
      <w:pPr>
        <w:ind w:left="3220" w:right="3259" w:hanging="813"/>
        <w:spacing w:after="0" w:line="242" w:lineRule="auto"/>
        <w:tabs>
          <w:tab w:leader="none" w:pos="322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Ownership Percentage of the total number of shares of Common Stock outstanding at the commencement of the Covenant Period;</w:t>
      </w:r>
    </w:p>
    <w:p>
      <w:pPr>
        <w:spacing w:after="0" w:line="173"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MINUS</w:t>
      </w:r>
    </w:p>
    <w:p>
      <w:pPr>
        <w:spacing w:after="0" w:line="176" w:lineRule="exact"/>
        <w:rPr>
          <w:sz w:val="20"/>
          <w:szCs w:val="20"/>
          <w:color w:val="auto"/>
        </w:rPr>
      </w:pPr>
    </w:p>
    <w:p>
      <w:pPr>
        <w:ind w:left="3220" w:right="3079" w:hanging="813"/>
        <w:spacing w:after="0" w:line="241" w:lineRule="auto"/>
        <w:tabs>
          <w:tab w:leader="none" w:pos="32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 of Common Stock owned by such Holder and its Aggregation Parties at the commencement of the Covenant Period.</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A new and independent covenant will be deemed to be given by the Holder as of each moment of each Covenant Day. No covenant will terminate, diminish or modify any other covenant. The Holder agrees to comply with each such covenant.</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Company's obligation to issue shares of Common Stock which would exceed such limited shall be suspended to the extent necessary until such time, if any, as shares of Common Stock may be issued in compliance with such restrictions.</w:t>
      </w:r>
    </w:p>
    <w:p>
      <w:pPr>
        <w:spacing w:after="0" w:line="175" w:lineRule="exact"/>
        <w:rPr>
          <w:sz w:val="20"/>
          <w:szCs w:val="20"/>
          <w:color w:val="auto"/>
        </w:rPr>
      </w:pPr>
    </w:p>
    <w:p>
      <w:pPr>
        <w:ind w:right="3079" w:firstLine="1602"/>
        <w:spacing w:after="0" w:line="242" w:lineRule="auto"/>
        <w:tabs>
          <w:tab w:leader="none" w:pos="1968"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The Company shall not be required to issue or cause to be issued fractional Warrant Shares on the exercise of this Warrant. The number of full Warrant Shares which shall be issuable upon the exercise of this Warrant shall be computed on the basis of the aggregate number of Warrant Shares purchasable on exercise of this Warrant so presented. If any fraction of a Warrant Share would, except for the provisions of this Section, be issuable on the exercise of this Warrant, the Company shall pay an amount in cash equal to the Exercise Price multiplied by such fraction.</w:t>
      </w:r>
    </w:p>
    <w:p>
      <w:pPr>
        <w:spacing w:after="0" w:line="177" w:lineRule="exact"/>
        <w:rPr>
          <w:rFonts w:ascii="Courier New" w:cs="Courier New" w:eastAsia="Courier New" w:hAnsi="Courier New"/>
          <w:sz w:val="15"/>
          <w:szCs w:val="15"/>
          <w:color w:val="auto"/>
        </w:rPr>
      </w:pPr>
    </w:p>
    <w:p>
      <w:pPr>
        <w:ind w:right="3079" w:firstLine="1602"/>
        <w:spacing w:after="0" w:line="261" w:lineRule="auto"/>
        <w:tabs>
          <w:tab w:leader="none" w:pos="1968"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and all notices or other communications or deliveries hereunder shall be in writing and shall be deemed given and effective on the earliest of (i) the date of transmission, if such notice or communication is delivered via facsimile at the facsimile telephone number specified in this Section prior to 6:30 p.m. (New York City time) on a business day, (ii) the business day after the date of transmission, if such notice or communication is delivered via facsimile at the facsimile telephone number specified in this Section later than 6:30 p.m. (New York City time) on any date and earlier than 11:59 p.m. (New York City time) on such date, (iii) the business day following the date of mailing, if sent by nationally recognized overnight courier service, or (iv) upon actual receipt by the party to whom such notice is required to be given. The addresses for such communications shall be: (i) if to the Company, to 525 Del Rey Avenue, Suite C, Sunnyvale, California 94086, with a copy to Ropes &amp; Gray, One International Place, Boston, Massachusetts, 02110, Attention: Geoffrey B. Davis, Esq., (facsimile number (617) 951-7050), or (ii) if to the Holder, to the Holder at the address or facsimile number appearing on the Warrant Register or such other address or facsimile number as the Holder may provide to the Company in accordance with this Section.</w:t>
      </w:r>
    </w:p>
    <w:p>
      <w:pPr>
        <w:spacing w:after="0" w:line="200" w:lineRule="exact"/>
        <w:rPr>
          <w:sz w:val="20"/>
          <w:szCs w:val="20"/>
          <w:color w:val="auto"/>
        </w:rPr>
      </w:pPr>
    </w:p>
    <w:p>
      <w:pPr>
        <w:spacing w:after="0" w:line="30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39" w:name="page140"/>
    <w:bookmarkEnd w:id="139"/>
    <w:p>
      <w:pPr>
        <w:ind w:right="3079" w:firstLine="1602"/>
        <w:spacing w:after="0" w:line="242" w:lineRule="auto"/>
        <w:tabs>
          <w:tab w:leader="none" w:pos="19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AGENT. The Company shall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77"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be binding on and inure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benefit of the parties hereto and their respective successors and assigns. Subject to the Subscription Agreement and applicable securities laws, this Warrant shall be freely transferable subject to applicable Securities Laws. This Warrant may be amended only in writing signed by the Company and the Holder and their successors and assigns.</w:t>
      </w:r>
    </w:p>
    <w:p>
      <w:pPr>
        <w:spacing w:after="0" w:line="175" w:lineRule="exact"/>
        <w:rPr>
          <w:rFonts w:ascii="Courier New" w:cs="Courier New" w:eastAsia="Courier New" w:hAnsi="Courier New"/>
          <w:sz w:val="15"/>
          <w:szCs w:val="15"/>
          <w:color w:val="auto"/>
        </w:rPr>
      </w:pPr>
    </w:p>
    <w:p>
      <w:pPr>
        <w:ind w:right="3159" w:firstLine="2407"/>
        <w:spacing w:after="0" w:line="242" w:lineRule="auto"/>
        <w:tabs>
          <w:tab w:leader="none" w:pos="32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15(a), above, nothing in this Warrant shall be construed to give to any person or corporation other than the Company and the Holder any legal or equitable right, remedy or cause under this Warrant. This Warrant shall inure to the sole and exclusive benefit of the Company and the Holder.</w:t>
      </w:r>
    </w:p>
    <w:p>
      <w:pPr>
        <w:spacing w:after="0" w:line="173"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laws of the State of Delaware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govern all issues concerning the relative rights of the Company and its stockholders. All other questions concerning the construction, validity, enforcement and interpretation of this Warrant shall be governed by and construed and enforced in accordance with the internal laws of the State of New York, without regard to the principles of conflicts of law thereof. The Company and the Holder hereby irrevocably submit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or that such suit, action or proceeding is improper. Each of the Company and the Holder hereby irrevocably waives personal service of process and consents to process being served in any such suit, action or proceeding by certified mail, return receipt requested, and agrees that such service shall constitute good and sufficient service of process and notice thereof. Nothing contained herein shall be deemed to limit in any way any right to serve process in any manner permitted by law.</w:t>
      </w:r>
    </w:p>
    <w:p>
      <w:pPr>
        <w:spacing w:after="0" w:line="182" w:lineRule="exact"/>
        <w:rPr>
          <w:rFonts w:ascii="Courier New" w:cs="Courier New" w:eastAsia="Courier New" w:hAnsi="Courier New"/>
          <w:sz w:val="15"/>
          <w:szCs w:val="15"/>
          <w:color w:val="auto"/>
        </w:rPr>
      </w:pPr>
    </w:p>
    <w:p>
      <w:pPr>
        <w:ind w:left="3220" w:hanging="813"/>
        <w:spacing w:after="0"/>
        <w:tabs>
          <w:tab w:leader="none" w:pos="32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herein are for convenience</w:t>
      </w:r>
    </w:p>
    <w:p>
      <w:pPr>
        <w:spacing w:after="0" w:line="3" w:lineRule="exact"/>
        <w:rPr>
          <w:rFonts w:ascii="Courier New" w:cs="Courier New" w:eastAsia="Courier New" w:hAnsi="Courier New"/>
          <w:sz w:val="15"/>
          <w:szCs w:val="15"/>
          <w:color w:val="auto"/>
        </w:rPr>
      </w:pPr>
    </w:p>
    <w:p>
      <w:pPr>
        <w:ind w:right="315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only, do not constitute a part of this Warrant and shall not be deemed to limit or affect any of the provisions hereof.</w:t>
      </w:r>
    </w:p>
    <w:p>
      <w:pPr>
        <w:spacing w:after="0" w:line="176" w:lineRule="exact"/>
        <w:rPr>
          <w:rFonts w:ascii="Courier New" w:cs="Courier New" w:eastAsia="Courier New" w:hAnsi="Courier New"/>
          <w:sz w:val="15"/>
          <w:szCs w:val="15"/>
          <w:color w:val="auto"/>
        </w:rPr>
      </w:pPr>
    </w:p>
    <w:p>
      <w:pPr>
        <w:ind w:right="3079" w:firstLine="2407"/>
        <w:spacing w:after="0" w:line="242" w:lineRule="auto"/>
        <w:tabs>
          <w:tab w:leader="none" w:pos="3220"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40" w:name="page141"/>
    <w:bookmarkEnd w:id="140"/>
    <w:p>
      <w:pPr>
        <w:ind w:right="3599"/>
        <w:spacing w:after="0"/>
        <w:rPr>
          <w:sz w:val="20"/>
          <w:szCs w:val="20"/>
          <w:color w:val="auto"/>
        </w:rPr>
      </w:pPr>
      <w:r>
        <w:rPr>
          <w:rFonts w:ascii="Courier New" w:cs="Courier New" w:eastAsia="Courier New" w:hAnsi="Courier New"/>
          <w:sz w:val="15"/>
          <w:szCs w:val="15"/>
          <w:color w:val="auto"/>
        </w:rPr>
        <w:t>a commercially reasonable substitute therefor, and upon so agreeing, shall incorporate such substitute provision in this Warrant.</w:t>
      </w:r>
    </w:p>
    <w:p>
      <w:pPr>
        <w:spacing w:after="0" w:line="348" w:lineRule="exact"/>
        <w:rPr>
          <w:sz w:val="20"/>
          <w:szCs w:val="20"/>
          <w:color w:val="auto"/>
        </w:rPr>
      </w:pPr>
    </w:p>
    <w:p>
      <w:pPr>
        <w:ind w:right="3159" w:firstLine="1610"/>
        <w:spacing w:after="0" w:line="274" w:lineRule="auto"/>
        <w:rPr>
          <w:sz w:val="20"/>
          <w:szCs w:val="20"/>
          <w:color w:val="auto"/>
        </w:rPr>
      </w:pPr>
      <w:r>
        <w:rPr>
          <w:rFonts w:ascii="Courier New" w:cs="Courier New" w:eastAsia="Courier New" w:hAnsi="Courier New"/>
          <w:sz w:val="14"/>
          <w:szCs w:val="14"/>
          <w:color w:val="auto"/>
        </w:rPr>
        <w:t>IN WITNESS WHEREOF, the Company has caused this Warrant to be duly executed by its authorized officer as of the date first indicated above.</w:t>
      </w:r>
    </w:p>
    <w:p>
      <w:pPr>
        <w:spacing w:after="0" w:line="15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41" w:name="page142"/>
    <w:bookmarkEnd w:id="141"/>
    <w:p>
      <w:pPr>
        <w:jc w:val="center"/>
        <w:ind w:right="3071"/>
        <w:spacing w:after="0"/>
        <w:rPr>
          <w:sz w:val="20"/>
          <w:szCs w:val="20"/>
          <w:color w:val="auto"/>
        </w:rPr>
      </w:pPr>
      <w:r>
        <w:rPr>
          <w:rFonts w:ascii="Courier New" w:cs="Courier New" w:eastAsia="Courier New" w:hAnsi="Courier New"/>
          <w:sz w:val="15"/>
          <w:szCs w:val="15"/>
          <w:color w:val="auto"/>
        </w:rPr>
        <w:t>FORM OF ELECTION TO PURCHASE</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(To be executed by the Holder to exercise the right to purchase shares of Common Stock under the foregoing Warrant)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StemCells, Inc:</w:t>
      </w:r>
    </w:p>
    <w:p>
      <w:pPr>
        <w:spacing w:after="0" w:line="176" w:lineRule="exact"/>
        <w:rPr>
          <w:sz w:val="20"/>
          <w:szCs w:val="20"/>
          <w:color w:val="auto"/>
        </w:rPr>
      </w:pPr>
    </w:p>
    <w:p>
      <w:pPr>
        <w:ind w:left="8" w:right="3519" w:firstLine="1610"/>
        <w:spacing w:after="0" w:line="260" w:lineRule="auto"/>
        <w:rPr>
          <w:sz w:val="20"/>
          <w:szCs w:val="20"/>
          <w:color w:val="auto"/>
        </w:rPr>
      </w:pPr>
      <w:r>
        <w:rPr>
          <w:rFonts w:ascii="Courier New" w:cs="Courier New" w:eastAsia="Courier New" w:hAnsi="Courier New"/>
          <w:sz w:val="14"/>
          <w:szCs w:val="14"/>
          <w:color w:val="auto"/>
        </w:rPr>
        <w:t>In accordance with the Warrant enclosed with this Form of Election to Purchase, the undersigned hereby irrevocably elects to purchase</w:t>
      </w:r>
    </w:p>
    <w:p>
      <w:pPr>
        <w:ind w:left="8"/>
        <w:spacing w:after="0" w:line="238" w:lineRule="auto"/>
        <w:rPr>
          <w:sz w:val="20"/>
          <w:szCs w:val="20"/>
          <w:color w:val="auto"/>
        </w:rPr>
      </w:pPr>
      <w:r>
        <w:rPr>
          <w:rFonts w:ascii="Courier New" w:cs="Courier New" w:eastAsia="Courier New" w:hAnsi="Courier New"/>
          <w:sz w:val="15"/>
          <w:szCs w:val="15"/>
          <w:color w:val="auto"/>
        </w:rPr>
        <w:t>_____________ shares of common stock, $.01 par value per share, of STEMCELLS,</w:t>
      </w:r>
    </w:p>
    <w:p>
      <w:pPr>
        <w:spacing w:after="0" w:line="4"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INC. (the "Common Stock") and , if such Holder is not utilizing the cashless exercise provisions set forth in this Warrant, encloses herewith $________ in</w:t>
      </w:r>
    </w:p>
    <w:p>
      <w:pPr>
        <w:ind w:left="8" w:right="3079"/>
        <w:spacing w:after="0" w:line="242" w:lineRule="auto"/>
        <w:rPr>
          <w:sz w:val="20"/>
          <w:szCs w:val="20"/>
          <w:color w:val="auto"/>
        </w:rPr>
      </w:pPr>
      <w:r>
        <w:rPr>
          <w:rFonts w:ascii="Courier New" w:cs="Courier New" w:eastAsia="Courier New" w:hAnsi="Courier New"/>
          <w:sz w:val="15"/>
          <w:szCs w:val="15"/>
          <w:color w:val="auto"/>
        </w:rPr>
        <w:t>cash, certified or official bank check or checks, which sum represents the aggregate Exercise Price (as defined in the Warrant) for the number of shares of Common Stock to which this Form of Election to Purchase relates, together with any applicable taxes payable by the undersigned pursuant to the Warrant.</w:t>
      </w:r>
    </w:p>
    <w:p>
      <w:pPr>
        <w:spacing w:after="0" w:line="175" w:lineRule="exact"/>
        <w:rPr>
          <w:sz w:val="20"/>
          <w:szCs w:val="20"/>
          <w:color w:val="auto"/>
        </w:rPr>
      </w:pPr>
    </w:p>
    <w:p>
      <w:pPr>
        <w:ind w:left="8" w:right="3259" w:firstLine="1610"/>
        <w:spacing w:after="0"/>
        <w:rPr>
          <w:sz w:val="20"/>
          <w:szCs w:val="20"/>
          <w:color w:val="auto"/>
        </w:rPr>
      </w:pPr>
      <w:r>
        <w:rPr>
          <w:rFonts w:ascii="Courier New" w:cs="Courier New" w:eastAsia="Courier New" w:hAnsi="Courier New"/>
          <w:sz w:val="15"/>
          <w:szCs w:val="15"/>
          <w:color w:val="auto"/>
        </w:rPr>
        <w:t>The undersigned requests that certificates for the shares of Common Stock issuable upon this exercise be issued in the name of</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PLEASE INSERT SOCIAL SECURITY OR</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TAX IDENTIFICATION NUMBER</w:t>
      </w:r>
    </w:p>
    <w:p>
      <w:pPr>
        <w:spacing w:after="0" w:line="346"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188" w:hanging="188"/>
        <w:spacing w:after="0"/>
        <w:tabs>
          <w:tab w:leader="none" w:pos="188"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2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If the number of shares of Common Stock issuable upon this exercise shall not be all of the shares of Common Stock which the undersigned is entitled to purchase in accordance with the enclosed Warrant, the undersigned requests that a New Warrant (as defined in the Warrant) evidencing the right to purchase the shares of Common Stock not issuable pursuant to the exercise evidenced hereby be issued in the name of and delivered to:</w:t>
      </w:r>
    </w:p>
    <w:p>
      <w:pPr>
        <w:spacing w:after="0" w:line="348" w:lineRule="exact"/>
        <w:rPr>
          <w:sz w:val="20"/>
          <w:szCs w:val="20"/>
          <w:color w:val="auto"/>
        </w:rPr>
      </w:pPr>
    </w:p>
    <w:p>
      <w:pPr>
        <w:ind w:left="188" w:hanging="188"/>
        <w:spacing w:after="0"/>
        <w:tabs>
          <w:tab w:leader="none" w:pos="18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22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(Please print name and address)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sectPr>
      </w:pPr>
    </w:p>
    <w:bookmarkStart w:id="142" w:name="page143"/>
    <w:bookmarkEnd w:id="142"/>
    <w:p>
      <w:pPr>
        <w:ind w:left="188" w:hanging="188"/>
        <w:spacing w:after="0"/>
        <w:tabs>
          <w:tab w:leader="none" w:pos="18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635" w:right="1440" w:bottom="1440" w:gutter="0" w:footer="0" w:header="0"/>
        </w:sectPr>
      </w:pPr>
    </w:p>
    <w:p>
      <w:pPr>
        <w:spacing w:after="0" w:line="357"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Holder:</w:t>
      </w:r>
    </w:p>
    <w:p>
      <w:pPr>
        <w:spacing w:after="0" w:line="356" w:lineRule="exact"/>
        <w:rPr>
          <w:sz w:val="20"/>
          <w:szCs w:val="20"/>
          <w:color w:val="auto"/>
        </w:rPr>
      </w:pPr>
    </w:p>
    <w:p>
      <w:pPr>
        <w:sectPr>
          <w:pgSz w:w="11900" w:h="16838" w:orient="portrait"/>
          <w:cols w:equalWidth="0" w:num="3">
            <w:col w:w="528" w:space="100"/>
            <w:col w:w="2140" w:space="720"/>
            <w:col w:w="6739"/>
          </w:cols>
          <w:pgMar w:left="232" w:top="635" w:right="1440" w:bottom="1440" w:gutter="0" w:footer="0" w:header="0"/>
          <w:type w:val="continuous"/>
        </w:sectPr>
      </w:pPr>
    </w:p>
    <w:p>
      <w:pPr>
        <w:ind w:left="3928"/>
        <w:spacing w:after="0"/>
        <w:rPr>
          <w:sz w:val="20"/>
          <w:szCs w:val="20"/>
          <w:color w:val="auto"/>
        </w:rPr>
      </w:pPr>
      <w:r>
        <w:rPr>
          <w:rFonts w:ascii="Courier New" w:cs="Courier New" w:eastAsia="Courier New" w:hAnsi="Courier New"/>
          <w:sz w:val="15"/>
          <w:szCs w:val="15"/>
          <w:color w:val="auto"/>
        </w:rPr>
        <w:t>(Print)</w:t>
      </w:r>
    </w:p>
    <w:p>
      <w:pPr>
        <w:spacing w:after="0" w:line="174"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28"/>
        <w:spacing w:after="0"/>
        <w:rPr>
          <w:sz w:val="20"/>
          <w:szCs w:val="20"/>
          <w:color w:val="auto"/>
        </w:rPr>
      </w:pPr>
      <w:r>
        <w:rPr>
          <w:rFonts w:ascii="Courier New" w:cs="Courier New" w:eastAsia="Courier New" w:hAnsi="Courier New"/>
          <w:sz w:val="14"/>
          <w:szCs w:val="14"/>
          <w:color w:val="auto"/>
        </w:rPr>
        <w:t>(Signature must conform in all</w:t>
      </w:r>
    </w:p>
    <w:p>
      <w:pPr>
        <w:spacing w:after="0" w:line="1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respects to name of holder as</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specified on the face of the</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Warrant)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type w:val="continuous"/>
        </w:sectPr>
      </w:pPr>
    </w:p>
    <w:bookmarkStart w:id="143" w:name="page144"/>
    <w:bookmarkEnd w:id="143"/>
    <w:p>
      <w:pPr>
        <w:jc w:val="center"/>
        <w:ind w:right="3079"/>
        <w:spacing w:after="0"/>
        <w:rPr>
          <w:sz w:val="20"/>
          <w:szCs w:val="20"/>
          <w:color w:val="auto"/>
        </w:rPr>
      </w:pPr>
      <w:r>
        <w:rPr>
          <w:rFonts w:ascii="Courier New" w:cs="Courier New" w:eastAsia="Courier New" w:hAnsi="Courier New"/>
          <w:sz w:val="15"/>
          <w:szCs w:val="15"/>
          <w:color w:val="auto"/>
        </w:rPr>
        <w:t>FORM OF ASSIGNMENT</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[To be completed and signed only upon transfer of Warrant]</w:t>
      </w:r>
    </w:p>
    <w:p>
      <w:pPr>
        <w:spacing w:after="0" w:line="176" w:lineRule="exact"/>
        <w:rPr>
          <w:sz w:val="20"/>
          <w:szCs w:val="20"/>
          <w:color w:val="auto"/>
        </w:rPr>
      </w:pPr>
    </w:p>
    <w:p>
      <w:pPr>
        <w:ind w:right="3159" w:firstLine="1610"/>
        <w:spacing w:after="0" w:line="260" w:lineRule="auto"/>
        <w:rPr>
          <w:sz w:val="20"/>
          <w:szCs w:val="20"/>
          <w:color w:val="auto"/>
        </w:rPr>
      </w:pPr>
      <w:r>
        <w:rPr>
          <w:rFonts w:ascii="Courier New" w:cs="Courier New" w:eastAsia="Courier New" w:hAnsi="Courier New"/>
          <w:sz w:val="14"/>
          <w:szCs w:val="14"/>
          <w:color w:val="auto"/>
        </w:rPr>
        <w:t>FOR VALUE RECEIVED, the undersigned hereby sells, assigns and transfers unto ________________________________ the right represented by the</w:t>
      </w:r>
    </w:p>
    <w:p>
      <w:pPr>
        <w:spacing w:after="0" w:line="238" w:lineRule="auto"/>
        <w:rPr>
          <w:sz w:val="20"/>
          <w:szCs w:val="20"/>
          <w:color w:val="auto"/>
        </w:rPr>
      </w:pPr>
      <w:r>
        <w:rPr>
          <w:rFonts w:ascii="Courier New" w:cs="Courier New" w:eastAsia="Courier New" w:hAnsi="Courier New"/>
          <w:sz w:val="15"/>
          <w:szCs w:val="15"/>
          <w:color w:val="auto"/>
        </w:rPr>
        <w:t>within Warrant to purchase ____________ shares of Common Stock of StemCells,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to which the within Warrant relates and appoints ________________ attorney</w:t>
      </w:r>
    </w:p>
    <w:p>
      <w:pPr>
        <w:spacing w:after="0" w:line="4"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to transfer said right on the books of StemCells, Inc. with full power of substitution in the premises.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 must conform in all respects to name</w:t>
      </w:r>
    </w:p>
    <w:p>
      <w:pPr>
        <w:spacing w:after="0" w:line="1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of holder as specified on the face of the</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Warrant)</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Address of Transferee</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presence of:</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44" w:name="page145"/>
    <w:bookmarkEnd w:id="144"/>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259" w:firstLine="358"/>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April 14, 2000 in Amendment No. 3 to the Registration Statement (Form S-1 No. 333-45496) and related Prospectus of StemCells, Inc. (formerly CytoTherapeutics, Inc.) for the registration of 3,205,486 shares of its common stock.</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Providence, Rhode Island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2000</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1)"/>
      <w:numFmt w:val="decimal"/>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1)"/>
      <w:numFmt w:val="lowerRoman"/>
      <w:start w:val="3"/>
    </w:lvl>
  </w:abstractNum>
  <w:abstractNum w:abstractNumId="4">
    <w:nsid w:val="76272110"/>
    <w:multiLevelType w:val="hybridMultilevel"/>
    <w:lvl w:ilvl="0">
      <w:lvlJc w:val="left"/>
      <w:lvlText w:val="-"/>
      <w:numFmt w:val="bullet"/>
      <w:start w:val="1"/>
    </w:lvl>
    <w:lvl w:ilvl="1">
      <w:lvlJc w:val="left"/>
      <w:lvlText w:val="%2)"/>
      <w:numFmt w:val="lowerLetter"/>
      <w:start w:val="1"/>
    </w:lvl>
  </w:abstractNum>
  <w:abstractNum w:abstractNumId="5">
    <w:nsid w:val="4C04A8AF"/>
    <w:multiLevelType w:val="hybridMultilevel"/>
    <w:lvl w:ilvl="0">
      <w:lvlJc w:val="left"/>
      <w:lvlText w:val="%1)"/>
      <w:numFmt w:val="decimal"/>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1)"/>
      <w:numFmt w:val="decimal"/>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1."/>
      <w:numFmt w:val="decimal"/>
      <w:start w:val="2"/>
    </w:lvl>
  </w:abstractNum>
  <w:abstractNum w:abstractNumId="14">
    <w:nsid w:val="39EE015C"/>
    <w:multiLevelType w:val="hybridMultilevel"/>
    <w:lvl w:ilvl="0">
      <w:lvlJc w:val="left"/>
      <w:lvlText w:val="%1."/>
      <w:numFmt w:val="decimal"/>
      <w:start w:val="3"/>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1."/>
      <w:numFmt w:val="decimal"/>
      <w:start w:val="4"/>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1."/>
      <w:numFmt w:val="decimal"/>
      <w:start w:val="5"/>
    </w:lvl>
  </w:abstractNum>
  <w:abstractNum w:abstractNumId="19">
    <w:nsid w:val="26F324BA"/>
    <w:multiLevelType w:val="hybridMultilevel"/>
    <w:lvl w:ilvl="0">
      <w:lvlJc w:val="left"/>
      <w:lvlText w:val="(%1)"/>
      <w:numFmt w:val="decimal"/>
      <w:start w:val="1"/>
    </w:lvl>
  </w:abstractNum>
  <w:abstractNum w:abstractNumId="20">
    <w:nsid w:val="7F01579B"/>
    <w:multiLevelType w:val="hybridMultilevel"/>
    <w:lvl w:ilvl="0">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1)"/>
      <w:numFmt w:val="decimal"/>
      <w:start w:val="1"/>
    </w:lvl>
  </w:abstractNum>
  <w:abstractNum w:abstractNumId="24">
    <w:nsid w:val="50801EE1"/>
    <w:multiLevelType w:val="hybridMultilevel"/>
    <w:lvl w:ilvl="0">
      <w:lvlJc w:val="left"/>
      <w:lvlText w:val="(%1)"/>
      <w:numFmt w:val="decimal"/>
      <w:start w:val="8"/>
    </w:lvl>
  </w:abstractNum>
  <w:abstractNum w:abstractNumId="25">
    <w:nsid w:val="488AC1A"/>
    <w:multiLevelType w:val="hybridMultilevel"/>
    <w:lvl w:ilvl="0">
      <w:lvlJc w:val="left"/>
      <w:lvlText w:val="(%1)"/>
      <w:numFmt w:val="decimal"/>
      <w:start w:val="5"/>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1)"/>
      <w:numFmt w:val="decimal"/>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1."/>
      <w:numFmt w:val="decimal"/>
      <w:start w:val="1"/>
    </w:lvl>
  </w:abstractNum>
  <w:abstractNum w:abstractNumId="33">
    <w:nsid w:val="73A1821B"/>
    <w:multiLevelType w:val="hybridMultilevel"/>
    <w:lvl w:ilvl="0">
      <w:lvlJc w:val="left"/>
      <w:lvlText w:val="%1."/>
      <w:numFmt w:val="decimal"/>
      <w:start w:val="2"/>
    </w:lvl>
  </w:abstractNum>
  <w:abstractNum w:abstractNumId="34">
    <w:nsid w:val="7DE67713"/>
    <w:multiLevelType w:val="hybridMultilevel"/>
    <w:lvl w:ilvl="0">
      <w:lvlJc w:val="left"/>
      <w:lvlText w:val="%1."/>
      <w:numFmt w:val="decimal"/>
      <w:start w:val="2"/>
    </w:lvl>
  </w:abstractNum>
  <w:abstractNum w:abstractNumId="35">
    <w:nsid w:val="555C55B5"/>
    <w:multiLevelType w:val="hybridMultilevel"/>
    <w:lvl w:ilvl="0">
      <w:lvlJc w:val="left"/>
      <w:lvlText w:val="%1."/>
      <w:numFmt w:val="decimal"/>
      <w:start w:val="2"/>
    </w:lvl>
  </w:abstractNum>
  <w:abstractNum w:abstractNumId="36">
    <w:nsid w:val="3FA62ACA"/>
    <w:multiLevelType w:val="hybridMultilevel"/>
    <w:lvl w:ilvl="0">
      <w:lvlJc w:val="left"/>
      <w:lvlText w:val="%1."/>
      <w:numFmt w:val="decimal"/>
      <w:start w:val="3"/>
    </w:lvl>
  </w:abstractNum>
  <w:abstractNum w:abstractNumId="37">
    <w:nsid w:val="14FCE74E"/>
    <w:multiLevelType w:val="hybridMultilevel"/>
    <w:lvl w:ilvl="0">
      <w:lvlJc w:val="left"/>
      <w:lvlText w:val="%1."/>
      <w:numFmt w:val="decimal"/>
      <w:start w:val="3"/>
    </w:lvl>
  </w:abstractNum>
  <w:abstractNum w:abstractNumId="38">
    <w:nsid w:val="6A3DD3E8"/>
    <w:multiLevelType w:val="hybridMultilevel"/>
    <w:lvl w:ilvl="0">
      <w:lvlJc w:val="left"/>
      <w:lvlText w:val="%1."/>
      <w:numFmt w:val="decimal"/>
      <w:start w:val="4"/>
    </w:lvl>
  </w:abstractNum>
  <w:abstractNum w:abstractNumId="39">
    <w:nsid w:val="71C91298"/>
    <w:multiLevelType w:val="hybridMultilevel"/>
    <w:lvl w:ilvl="0">
      <w:lvlJc w:val="left"/>
      <w:lvlText w:val="%1."/>
      <w:numFmt w:val="decimal"/>
      <w:start w:val="4"/>
    </w:lvl>
  </w:abstractNum>
  <w:abstractNum w:abstractNumId="40">
    <w:nsid w:val="9DAF632"/>
    <w:multiLevelType w:val="hybridMultilevel"/>
    <w:lvl w:ilvl="0">
      <w:lvlJc w:val="left"/>
      <w:lvlText w:val="(%1)"/>
      <w:numFmt w:val="decimal"/>
      <w:start w:val="1"/>
    </w:lvl>
  </w:abstractNum>
  <w:abstractNum w:abstractNumId="41">
    <w:nsid w:val="53299938"/>
    <w:multiLevelType w:val="hybridMultilevel"/>
    <w:lvl w:ilvl="0">
      <w:lvlJc w:val="left"/>
      <w:lvlText w:val="%1."/>
      <w:numFmt w:val="decimal"/>
      <w:start w:val="4"/>
    </w:lvl>
  </w:abstractNum>
  <w:abstractNum w:abstractNumId="42">
    <w:nsid w:val="1FBFE8E0"/>
    <w:multiLevelType w:val="hybridMultilevel"/>
    <w:lvl w:ilvl="0">
      <w:lvlJc w:val="left"/>
      <w:lvlText w:val="%1."/>
      <w:numFmt w:val="decimal"/>
      <w:start w:val="5"/>
    </w:lvl>
  </w:abstractNum>
  <w:abstractNum w:abstractNumId="43">
    <w:nsid w:val="5092CA79"/>
    <w:multiLevelType w:val="hybridMultilevel"/>
    <w:lvl w:ilvl="0">
      <w:lvlJc w:val="left"/>
      <w:lvlText w:val="%1."/>
      <w:numFmt w:val="decimal"/>
      <w:start w:val="5"/>
    </w:lvl>
  </w:abstractNum>
  <w:abstractNum w:abstractNumId="44">
    <w:nsid w:val="1D545C4D"/>
    <w:multiLevelType w:val="hybridMultilevel"/>
    <w:lvl w:ilvl="0">
      <w:lvlJc w:val="left"/>
      <w:lvlText w:val="%1."/>
      <w:numFmt w:val="decimal"/>
      <w:start w:val="6"/>
    </w:lvl>
  </w:abstractNum>
  <w:abstractNum w:abstractNumId="45">
    <w:nsid w:val="59ADEA3D"/>
    <w:multiLevelType w:val="hybridMultilevel"/>
    <w:lvl w:ilvl="0">
      <w:lvlJc w:val="left"/>
      <w:lvlText w:val="%1."/>
      <w:numFmt w:val="decimal"/>
      <w:start w:val="7"/>
    </w:lvl>
  </w:abstractNum>
  <w:abstractNum w:abstractNumId="46">
    <w:nsid w:val="288F1A34"/>
    <w:multiLevelType w:val="hybridMultilevel"/>
    <w:lvl w:ilvl="0">
      <w:lvlJc w:val="left"/>
      <w:lvlText w:val="%1."/>
      <w:numFmt w:val="decimal"/>
      <w:start w:val="8"/>
    </w:lvl>
  </w:abstractNum>
  <w:abstractNum w:abstractNumId="47">
    <w:nsid w:val="2A155DBC"/>
    <w:multiLevelType w:val="hybridMultilevel"/>
    <w:lvl w:ilvl="0">
      <w:lvlJc w:val="left"/>
      <w:lvlText w:val="%1."/>
      <w:numFmt w:val="decimal"/>
      <w:start w:val="8"/>
    </w:lvl>
  </w:abstractNum>
  <w:abstractNum w:abstractNumId="48">
    <w:nsid w:val="1D9F6E5F"/>
    <w:multiLevelType w:val="hybridMultilevel"/>
    <w:lvl w:ilvl="0">
      <w:lvlJc w:val="left"/>
      <w:lvlText w:val="%1."/>
      <w:numFmt w:val="decimal"/>
      <w:start w:val="9"/>
    </w:lvl>
  </w:abstractNum>
  <w:abstractNum w:abstractNumId="49">
    <w:nsid w:val="97E1B4E"/>
    <w:multiLevelType w:val="hybridMultilevel"/>
    <w:lvl w:ilvl="0">
      <w:lvlJc w:val="left"/>
      <w:lvlText w:val="%1."/>
      <w:numFmt w:val="decimal"/>
      <w:start w:val="10"/>
    </w:lvl>
  </w:abstractNum>
  <w:abstractNum w:abstractNumId="50">
    <w:nsid w:val="51088277"/>
    <w:multiLevelType w:val="hybridMultilevel"/>
    <w:lvl w:ilvl="0">
      <w:lvlJc w:val="left"/>
      <w:lvlText w:val="%1."/>
      <w:numFmt w:val="decimal"/>
      <w:start w:val="11"/>
    </w:lvl>
  </w:abstractNum>
  <w:abstractNum w:abstractNumId="51">
    <w:nsid w:val="1CA0C5FA"/>
    <w:multiLevelType w:val="hybridMultilevel"/>
    <w:lvl w:ilvl="0">
      <w:lvlJc w:val="left"/>
      <w:lvlText w:val="%1."/>
      <w:numFmt w:val="decimal"/>
      <w:start w:val="11"/>
    </w:lvl>
  </w:abstractNum>
  <w:abstractNum w:abstractNumId="52">
    <w:nsid w:val="53584BCB"/>
    <w:multiLevelType w:val="hybridMultilevel"/>
    <w:lvl w:ilvl="0">
      <w:lvlJc w:val="left"/>
      <w:lvlText w:val="%1."/>
      <w:numFmt w:val="decimal"/>
      <w:start w:val="12"/>
    </w:lvl>
  </w:abstractNum>
  <w:abstractNum w:abstractNumId="53">
    <w:nsid w:val="415E286C"/>
    <w:multiLevelType w:val="hybridMultilevel"/>
    <w:lvl w:ilvl="0">
      <w:lvlJc w:val="left"/>
      <w:lvlText w:val="%1."/>
      <w:numFmt w:val="decimal"/>
      <w:start w:val="13"/>
    </w:lvl>
  </w:abstractNum>
  <w:abstractNum w:abstractNumId="54">
    <w:nsid w:val="7C58FD05"/>
    <w:multiLevelType w:val="hybridMultilevel"/>
    <w:lvl w:ilvl="0">
      <w:lvlJc w:val="left"/>
      <w:lvlText w:val="%1."/>
      <w:numFmt w:val="decimal"/>
      <w:start w:val="13"/>
    </w:lvl>
  </w:abstractNum>
  <w:abstractNum w:abstractNumId="55">
    <w:nsid w:val="23D86AAC"/>
    <w:multiLevelType w:val="hybridMultilevel"/>
    <w:lvl w:ilvl="0">
      <w:lvlJc w:val="left"/>
      <w:lvlText w:val="%1."/>
      <w:numFmt w:val="decimal"/>
      <w:start w:val="14"/>
    </w:lvl>
  </w:abstractNum>
  <w:abstractNum w:abstractNumId="56">
    <w:nsid w:val="45E6D486"/>
    <w:multiLevelType w:val="hybridMultilevel"/>
    <w:lvl w:ilvl="0">
      <w:lvlJc w:val="left"/>
      <w:lvlText w:val="%1."/>
      <w:numFmt w:val="decimal"/>
      <w:start w:val="15"/>
    </w:lvl>
  </w:abstractNum>
  <w:abstractNum w:abstractNumId="57">
    <w:nsid w:val="5C10FE21"/>
    <w:multiLevelType w:val="hybridMultilevel"/>
    <w:lvl w:ilvl="0">
      <w:lvlJc w:val="left"/>
      <w:lvlText w:val="%1."/>
      <w:numFmt w:val="decimal"/>
      <w:start w:val="15"/>
    </w:lvl>
  </w:abstractNum>
  <w:abstractNum w:abstractNumId="58">
    <w:nsid w:val="E7FFA2B"/>
    <w:multiLevelType w:val="hybridMultilevel"/>
    <w:lvl w:ilvl="0">
      <w:lvlJc w:val="left"/>
      <w:lvlText w:val="%1."/>
      <w:numFmt w:val="decimal"/>
      <w:start w:val="15"/>
    </w:lvl>
  </w:abstractNum>
  <w:abstractNum w:abstractNumId="59">
    <w:nsid w:val="3C5991AA"/>
    <w:multiLevelType w:val="hybridMultilevel"/>
    <w:lvl w:ilvl="0">
      <w:lvlJc w:val="left"/>
      <w:lvlText w:val="%1."/>
      <w:numFmt w:val="decimal"/>
      <w:start w:val="15"/>
    </w:lvl>
  </w:abstractNum>
  <w:abstractNum w:abstractNumId="60">
    <w:nsid w:val="4BD8591A"/>
    <w:multiLevelType w:val="hybridMultilevel"/>
    <w:lvl w:ilvl="0">
      <w:lvlJc w:val="left"/>
      <w:lvlText w:val="%1."/>
      <w:numFmt w:val="decimal"/>
      <w:start w:val="16"/>
    </w:lvl>
  </w:abstractNum>
  <w:abstractNum w:abstractNumId="61">
    <w:nsid w:val="78DF6A55"/>
    <w:multiLevelType w:val="hybridMultilevel"/>
    <w:lvl w:ilvl="0">
      <w:lvlJc w:val="left"/>
      <w:lvlText w:val="%1."/>
      <w:numFmt w:val="decimal"/>
      <w:start w:val="16"/>
    </w:lvl>
  </w:abstractNum>
  <w:abstractNum w:abstractNumId="62">
    <w:nsid w:val="39B7AAA2"/>
    <w:multiLevelType w:val="hybridMultilevel"/>
    <w:lvl w:ilvl="0">
      <w:lvlJc w:val="left"/>
      <w:lvlText w:val="%1."/>
      <w:numFmt w:val="decimal"/>
      <w:start w:val="17"/>
    </w:lvl>
  </w:abstractNum>
  <w:abstractNum w:abstractNumId="63">
    <w:nsid w:val="2B0D8DBE"/>
    <w:multiLevelType w:val="hybridMultilevel"/>
    <w:lvl w:ilvl="0">
      <w:lvlJc w:val="left"/>
      <w:lvlText w:val="%1."/>
      <w:numFmt w:val="decimal"/>
      <w:start w:val="18"/>
    </w:lvl>
  </w:abstractNum>
  <w:abstractNum w:abstractNumId="64">
    <w:nsid w:val="6C80EC70"/>
    <w:multiLevelType w:val="hybridMultilevel"/>
    <w:lvl w:ilvl="0">
      <w:lvlJc w:val="left"/>
      <w:lvlText w:val="%1."/>
      <w:numFmt w:val="decimal"/>
      <w:start w:val="19"/>
    </w:lvl>
  </w:abstractNum>
  <w:abstractNum w:abstractNumId="65">
    <w:nsid w:val="379E21B5"/>
    <w:multiLevelType w:val="hybridMultilevel"/>
    <w:lvl w:ilvl="0">
      <w:lvlJc w:val="left"/>
      <w:lvlText w:val="%1."/>
      <w:numFmt w:val="decimal"/>
      <w:start w:val="19"/>
    </w:lvl>
  </w:abstractNum>
  <w:abstractNum w:abstractNumId="66">
    <w:nsid w:val="69E373"/>
    <w:multiLevelType w:val="hybridMultilevel"/>
    <w:lvl w:ilvl="0">
      <w:lvlJc w:val="left"/>
      <w:lvlText w:val="%1."/>
      <w:numFmt w:val="decimal"/>
      <w:start w:val="20"/>
    </w:lvl>
  </w:abstractNum>
  <w:abstractNum w:abstractNumId="67">
    <w:nsid w:val="2C27173B"/>
    <w:multiLevelType w:val="hybridMultilevel"/>
    <w:lvl w:ilvl="0">
      <w:lvlJc w:val="left"/>
      <w:lvlText w:val="%1."/>
      <w:numFmt w:val="decimal"/>
      <w:start w:val="25"/>
    </w:lvl>
  </w:abstractNum>
  <w:abstractNum w:abstractNumId="68">
    <w:nsid w:val="4C9B0904"/>
    <w:multiLevelType w:val="hybridMultilevel"/>
    <w:lvl w:ilvl="0">
      <w:lvlJc w:val="left"/>
      <w:lvlText w:val="(%1)"/>
      <w:numFmt w:val="decimal"/>
      <w:start w:val="1"/>
    </w:lvl>
  </w:abstractNum>
  <w:abstractNum w:abstractNumId="69">
    <w:nsid w:val="6AA7B75C"/>
    <w:multiLevelType w:val="hybridMultilevel"/>
    <w:lvl w:ilvl="0">
      <w:lvlJc w:val="left"/>
      <w:lvlText w:val="*"/>
      <w:numFmt w:val="bullet"/>
      <w:start w:val="1"/>
    </w:lvl>
  </w:abstractNum>
  <w:abstractNum w:abstractNumId="70">
    <w:nsid w:val="1DF029D3"/>
    <w:multiLevelType w:val="hybridMultilevel"/>
    <w:lvl w:ilvl="0">
      <w:lvlJc w:val="left"/>
      <w:lvlText w:val="(%1)"/>
      <w:numFmt w:val="lowerLetter"/>
      <w:start w:val="9"/>
    </w:lvl>
    <w:lvl w:ilvl="1">
      <w:lvlJc w:val="left"/>
      <w:lvlText w:val="(%2)"/>
      <w:numFmt w:val="lowerLetter"/>
      <w:start w:val="1"/>
    </w:lvl>
  </w:abstractNum>
  <w:abstractNum w:abstractNumId="71">
    <w:nsid w:val="5675FF36"/>
    <w:multiLevelType w:val="hybridMultilevel"/>
    <w:lvl w:ilvl="0">
      <w:lvlJc w:val="left"/>
      <w:lvlText w:val="(%1)"/>
      <w:numFmt w:val="lowerLetter"/>
      <w:start w:val="2"/>
    </w:lvl>
  </w:abstractNum>
  <w:abstractNum w:abstractNumId="72">
    <w:nsid w:val="3DD15094"/>
    <w:multiLevelType w:val="hybridMultilevel"/>
    <w:lvl w:ilvl="0">
      <w:lvlJc w:val="left"/>
      <w:lvlText w:val="(%1)"/>
      <w:numFmt w:val="lowerLetter"/>
      <w:start w:val="1"/>
    </w:lvl>
  </w:abstractNum>
  <w:abstractNum w:abstractNumId="73">
    <w:nsid w:val="3DB012B3"/>
    <w:multiLevelType w:val="hybridMultilevel"/>
    <w:lvl w:ilvl="0">
      <w:lvlJc w:val="left"/>
      <w:lvlText w:val="++"/>
      <w:numFmt w:val="bullet"/>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
      <w:numFmt w:val="bullet"/>
      <w:start w:val="1"/>
    </w:lvl>
  </w:abstractNum>
  <w:abstractNum w:abstractNumId="76">
    <w:nsid w:val="175DFCF0"/>
    <w:multiLevelType w:val="hybridMultilevel"/>
    <w:lvl w:ilvl="0">
      <w:lvlJc w:val="left"/>
      <w:lvlText w:val="*"/>
      <w:numFmt w:val="bullet"/>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
      <w:numFmt w:val="bullet"/>
      <w:start w:val="1"/>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
      <w:numFmt w:val="bullet"/>
      <w:start w:val="1"/>
    </w:lvl>
  </w:abstractNum>
  <w:abstractNum w:abstractNumId="84">
    <w:nsid w:val="17A1B582"/>
    <w:multiLevelType w:val="hybridMultilevel"/>
    <w:lvl w:ilvl="0">
      <w:lvlJc w:val="left"/>
      <w:lvlText w:val="!!!!"/>
      <w:numFmt w:val="bullet"/>
      <w:start w:val="1"/>
    </w:lvl>
  </w:abstractNum>
  <w:abstractNum w:abstractNumId="85">
    <w:nsid w:val="4DF72E4E"/>
    <w:multiLevelType w:val="hybridMultilevel"/>
    <w:lvl w:ilvl="0">
      <w:lvlJc w:val="left"/>
      <w:lvlText w:val="***"/>
      <w:numFmt w:val="bullet"/>
      <w:start w:val="1"/>
    </w:lvl>
  </w:abstractNum>
  <w:abstractNum w:abstractNumId="86">
    <w:nsid w:val="5046B5A9"/>
    <w:multiLevelType w:val="hybridMultilevel"/>
    <w:lvl w:ilvl="0">
      <w:lvlJc w:val="left"/>
      <w:lvlText w:val="****"/>
      <w:numFmt w:val="bullet"/>
      <w:start w:val="1"/>
    </w:lvl>
  </w:abstractNum>
  <w:abstractNum w:abstractNumId="87">
    <w:nsid w:val="5D888A08"/>
    <w:multiLevelType w:val="hybridMultilevel"/>
    <w:lvl w:ilvl="0">
      <w:lvlJc w:val="left"/>
      <w:lvlText w:val="###"/>
      <w:numFmt w:val="bullet"/>
      <w:start w:val="1"/>
    </w:lvl>
  </w:abstractNum>
  <w:abstractNum w:abstractNumId="88">
    <w:nsid w:val="2A082C70"/>
    <w:multiLevelType w:val="hybridMultilevel"/>
    <w:lvl w:ilvl="0">
      <w:lvlJc w:val="left"/>
      <w:lvlText w:val="[*]"/>
      <w:numFmt w:val="bullet"/>
      <w:start w:val="1"/>
    </w:lvl>
  </w:abstractNum>
  <w:abstractNum w:abstractNumId="89">
    <w:nsid w:val="5EC6AFD4"/>
    <w:multiLevelType w:val="hybridMultilevel"/>
    <w:lvl w:ilvl="0">
      <w:lvlJc w:val="left"/>
      <w:lvlText w:val="X"/>
      <w:numFmt w:val="bullet"/>
      <w:start w:val="1"/>
    </w:lvl>
  </w:abstractNum>
  <w:abstractNum w:abstractNumId="90">
    <w:nsid w:val="19E21BB2"/>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
      <w:numFmt w:val="bullet"/>
      <w:start w:val="1"/>
    </w:lvl>
  </w:abstractNum>
  <w:abstractNum w:abstractNumId="93">
    <w:nsid w:val="5399C654"/>
    <w:multiLevelType w:val="hybridMultilevel"/>
    <w:lvl w:ilvl="0">
      <w:lvlJc w:val="left"/>
      <w:lvlText w:val="++++"/>
      <w:numFmt w:val="bullet"/>
      <w:start w:val="1"/>
    </w:lvl>
  </w:abstractNum>
  <w:abstractNum w:abstractNumId="94">
    <w:nsid w:val="20EE1348"/>
    <w:multiLevelType w:val="hybridMultilevel"/>
    <w:lvl w:ilvl="0">
      <w:lvlJc w:val="left"/>
      <w:lvlText w:val="*"/>
      <w:numFmt w:val="bullet"/>
      <w:start w:val="1"/>
    </w:lvl>
  </w:abstractNum>
  <w:abstractNum w:abstractNumId="95">
    <w:nsid w:val="4427069A"/>
    <w:multiLevelType w:val="hybridMultilevel"/>
    <w:lvl w:ilvl="0">
      <w:lvlJc w:val="left"/>
      <w:lvlText w:val="#"/>
      <w:numFmt w:val="bullet"/>
      <w:start w:val="1"/>
    </w:lvl>
  </w:abstractNum>
  <w:abstractNum w:abstractNumId="96">
    <w:nsid w:val="B37E80A"/>
    <w:multiLevelType w:val="hybridMultilevel"/>
    <w:lvl w:ilvl="0">
      <w:lvlJc w:val="left"/>
      <w:lvlText w:val="**"/>
      <w:numFmt w:val="bullet"/>
      <w:start w:val="1"/>
    </w:lvl>
  </w:abstractNum>
  <w:abstractNum w:abstractNumId="97">
    <w:nsid w:val="2157F6BC"/>
    <w:multiLevelType w:val="hybridMultilevel"/>
    <w:lvl w:ilvl="0">
      <w:lvlJc w:val="left"/>
      <w:lvlText w:val="##"/>
      <w:numFmt w:val="bullet"/>
      <w:start w:val="1"/>
    </w:lvl>
  </w:abstractNum>
  <w:abstractNum w:abstractNumId="98">
    <w:nsid w:val="704E1DD5"/>
    <w:multiLevelType w:val="hybridMultilevel"/>
    <w:lvl w:ilvl="0">
      <w:lvlJc w:val="left"/>
      <w:lvlText w:val="+"/>
      <w:numFmt w:val="bullet"/>
      <w:start w:val="1"/>
    </w:lvl>
  </w:abstractNum>
  <w:abstractNum w:abstractNumId="99">
    <w:nsid w:val="57D2F10E"/>
    <w:multiLevelType w:val="hybridMultilevel"/>
    <w:lvl w:ilvl="0">
      <w:lvlJc w:val="left"/>
      <w:lvlText w:val="!"/>
      <w:numFmt w:val="bullet"/>
      <w:start w:val="1"/>
    </w:lvl>
  </w:abstractNum>
  <w:abstractNum w:abstractNumId="100">
    <w:nsid w:val="BFFAE18"/>
    <w:multiLevelType w:val="hybridMultilevel"/>
    <w:lvl w:ilvl="0">
      <w:lvlJc w:val="left"/>
      <w:lvlText w:val="!!"/>
      <w:numFmt w:val="bullet"/>
      <w:start w:val="1"/>
    </w:lvl>
  </w:abstractNum>
  <w:abstractNum w:abstractNumId="101">
    <w:nsid w:val="E3E47A8"/>
    <w:multiLevelType w:val="hybridMultilevel"/>
    <w:lvl w:ilvl="0">
      <w:lvlJc w:val="left"/>
      <w:lvlText w:val="!!!"/>
      <w:numFmt w:val="bullet"/>
      <w:start w:val="1"/>
    </w:lvl>
  </w:abstractNum>
  <w:abstractNum w:abstractNumId="102">
    <w:nsid w:val="2E48F044"/>
    <w:multiLevelType w:val="hybridMultilevel"/>
    <w:lvl w:ilvl="0">
      <w:lvlJc w:val="left"/>
      <w:lvlText w:val="!!!!"/>
      <w:numFmt w:val="bullet"/>
      <w:start w:val="1"/>
    </w:lvl>
  </w:abstractNum>
  <w:abstractNum w:abstractNumId="103">
    <w:nsid w:val="49D0FEAC"/>
    <w:multiLevelType w:val="hybridMultilevel"/>
    <w:lvl w:ilvl="0">
      <w:lvlJc w:val="left"/>
      <w:lvlText w:val="***"/>
      <w:numFmt w:val="bullet"/>
      <w:start w:val="1"/>
    </w:lvl>
  </w:abstractNum>
  <w:abstractNum w:abstractNumId="104">
    <w:nsid w:val="4BEE5A5B"/>
    <w:multiLevelType w:val="hybridMultilevel"/>
    <w:lvl w:ilvl="0">
      <w:lvlJc w:val="left"/>
      <w:lvlText w:val="****"/>
      <w:numFmt w:val="bullet"/>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X"/>
      <w:numFmt w:val="bullet"/>
      <w:start w:val="1"/>
    </w:lvl>
  </w:abstractNum>
  <w:abstractNum w:abstractNumId="108">
    <w:nsid w:val="24E99DD7"/>
    <w:multiLevelType w:val="hybridMultilevel"/>
    <w:lvl w:ilvl="0">
      <w:lvlJc w:val="left"/>
      <w:lvlText w:val="%1"/>
      <w:numFmt w:val="decimal"/>
      <w:start w:val="1"/>
    </w:lvl>
    <w:lvl w:ilvl="1">
      <w:lvlJc w:val="left"/>
      <w:lvlText w:val="(%2)"/>
      <w:numFmt w:val="lowerRoman"/>
      <w:start w:val="1"/>
    </w:lvl>
  </w:abstractNum>
  <w:abstractNum w:abstractNumId="109">
    <w:nsid w:val="2A31B62D"/>
    <w:multiLevelType w:val="hybridMultilevel"/>
    <w:lvl w:ilvl="0">
      <w:lvlJc w:val="left"/>
      <w:lvlText w:val="(%1)"/>
      <w:numFmt w:val="decimal"/>
      <w:start w:val="1"/>
    </w:lvl>
    <w:lvl w:ilvl="1">
      <w:lvlJc w:val="left"/>
      <w:lvlText w:val="%2"/>
      <w:numFmt w:val="lowerRoman"/>
      <w:start w:val="1"/>
    </w:lvl>
  </w:abstractNum>
  <w:abstractNum w:abstractNumId="110">
    <w:nsid w:val="1849C29B"/>
    <w:multiLevelType w:val="hybridMultilevel"/>
    <w:lvl w:ilvl="0">
      <w:lvlJc w:val="left"/>
      <w:lvlText w:val="%1"/>
      <w:numFmt w:val="decimal"/>
      <w:start w:val="1"/>
    </w:lvl>
    <w:lvl w:ilvl="1">
      <w:lvlJc w:val="left"/>
      <w:lvlText w:val="(%2)"/>
      <w:numFmt w:val="lowerRoman"/>
      <w:start w:val="2"/>
    </w:lvl>
  </w:abstractNum>
  <w:abstractNum w:abstractNumId="111">
    <w:nsid w:val="7DFF9D09"/>
    <w:multiLevelType w:val="hybridMultilevel"/>
    <w:lvl w:ilvl="0">
      <w:lvlJc w:val="left"/>
      <w:lvlText w:val="(%1)"/>
      <w:numFmt w:val="decimal"/>
      <w:start w:val="1"/>
    </w:lvl>
    <w:lvl w:ilvl="1">
      <w:lvlJc w:val="left"/>
      <w:lvlText w:val="%2"/>
      <w:numFmt w:val="lowerRoman"/>
      <w:start w:val="1"/>
    </w:lvl>
  </w:abstractNum>
  <w:abstractNum w:abstractNumId="112">
    <w:nsid w:val="754342"/>
    <w:multiLevelType w:val="hybridMultilevel"/>
    <w:lvl w:ilvl="0">
      <w:lvlJc w:val="left"/>
      <w:lvlText w:val="(%1)"/>
      <w:numFmt w:val="lowerRoman"/>
      <w:start w:val="4"/>
    </w:lvl>
  </w:abstractNum>
  <w:abstractNum w:abstractNumId="113">
    <w:nsid w:val="69E7F3E5"/>
    <w:multiLevelType w:val="hybridMultilevel"/>
    <w:lvl w:ilvl="0">
      <w:lvlJc w:val="left"/>
      <w:lvlText w:val="(%1)"/>
      <w:numFmt w:val="lowerRoman"/>
      <w:start w:val="1"/>
    </w:lvl>
    <w:lvl w:ilvl="1">
      <w:lvlJc w:val="left"/>
      <w:lvlText w:val="(%2)"/>
      <w:numFmt w:val="lowerRoman"/>
      <w:start w:val="5"/>
    </w:lvl>
  </w:abstractNum>
  <w:abstractNum w:abstractNumId="114">
    <w:nsid w:val="2A6DE806"/>
    <w:multiLevelType w:val="hybridMultilevel"/>
    <w:lvl w:ilvl="0">
      <w:lvlJc w:val="left"/>
      <w:lvlText w:val="(%1)"/>
      <w:numFmt w:val="lowerRoman"/>
      <w:start w:val="10"/>
    </w:lvl>
    <w:lvl w:ilvl="1">
      <w:lvlJc w:val="left"/>
      <w:lvlText w:val="%2"/>
      <w:numFmt w:val="lowerRoman"/>
      <w:start w:val="1"/>
    </w:lvl>
  </w:abstractNum>
  <w:abstractNum w:abstractNumId="115">
    <w:nsid w:val="1816F8C4"/>
    <w:multiLevelType w:val="hybridMultilevel"/>
    <w:lvl w:ilvl="0">
      <w:lvlJc w:val="left"/>
      <w:lvlText w:val="(%1)"/>
      <w:numFmt w:val="lowerRoman"/>
      <w:start w:val="6"/>
    </w:lvl>
  </w:abstractNum>
  <w:abstractNum w:abstractNumId="116">
    <w:nsid w:val="37DF2233"/>
    <w:multiLevelType w:val="hybridMultilevel"/>
    <w:lvl w:ilvl="0">
      <w:lvlJc w:val="left"/>
      <w:lvlText w:val="(%1)"/>
      <w:numFmt w:val="decimal"/>
      <w:start w:val="2"/>
    </w:lvl>
  </w:abstractNum>
  <w:abstractNum w:abstractNumId="117">
    <w:nsid w:val="7AB49DAF"/>
    <w:multiLevelType w:val="hybridMultilevel"/>
    <w:lvl w:ilvl="0">
      <w:lvlJc w:val="left"/>
      <w:lvlText w:val="%1."/>
      <w:numFmt w:val="decimal"/>
      <w:start w:val="1"/>
    </w:lvl>
  </w:abstractNum>
  <w:abstractNum w:abstractNumId="118">
    <w:nsid w:val="759F82CD"/>
    <w:multiLevelType w:val="hybridMultilevel"/>
    <w:lvl w:ilvl="0">
      <w:lvlJc w:val="left"/>
      <w:lvlText w:val="(%1)"/>
      <w:numFmt w:val="lowerLetter"/>
      <w:start w:val="35"/>
    </w:lvl>
    <w:lvl w:ilvl="1">
      <w:lvlJc w:val="left"/>
      <w:lvlText w:val="(%2)"/>
      <w:numFmt w:val="lowerLetter"/>
      <w:start w:val="1"/>
    </w:lvl>
  </w:abstractNum>
  <w:abstractNum w:abstractNumId="119">
    <w:nsid w:val="61E74EA3"/>
    <w:multiLevelType w:val="hybridMultilevel"/>
    <w:lvl w:ilvl="0">
      <w:lvlJc w:val="left"/>
      <w:lvlText w:val="(%1)"/>
      <w:numFmt w:val="lowerLetter"/>
      <w:start w:val="2"/>
    </w:lvl>
  </w:abstractNum>
  <w:abstractNum w:abstractNumId="120">
    <w:nsid w:val="597B4D84"/>
    <w:multiLevelType w:val="hybridMultilevel"/>
    <w:lvl w:ilvl="0">
      <w:lvlJc w:val="left"/>
      <w:lvlText w:val="(%1)"/>
      <w:numFmt w:val="lowerLetter"/>
      <w:start w:val="2"/>
    </w:lvl>
  </w:abstractNum>
  <w:abstractNum w:abstractNumId="121">
    <w:nsid w:val="F819E7F"/>
    <w:multiLevelType w:val="hybridMultilevel"/>
    <w:lvl w:ilvl="0">
      <w:lvlJc w:val="left"/>
      <w:lvlText w:val="(%1)"/>
      <w:numFmt w:val="lowerLetter"/>
      <w:start w:val="3"/>
    </w:lvl>
  </w:abstractNum>
  <w:abstractNum w:abstractNumId="122">
    <w:nsid w:val="57C7D42D"/>
    <w:multiLevelType w:val="hybridMultilevel"/>
    <w:lvl w:ilvl="0">
      <w:lvlJc w:val="left"/>
      <w:lvlText w:val="(%1)"/>
      <w:numFmt w:val="lowerRoman"/>
      <w:start w:val="10"/>
    </w:lvl>
  </w:abstractNum>
  <w:abstractNum w:abstractNumId="123">
    <w:nsid w:val="312167AD"/>
    <w:multiLevelType w:val="hybridMultilevel"/>
    <w:lvl w:ilvl="0">
      <w:lvlJc w:val="left"/>
      <w:lvlText w:val="(%1)"/>
      <w:numFmt w:val="lowerLetter"/>
      <w:start w:val="25"/>
    </w:lvl>
  </w:abstractNum>
  <w:abstractNum w:abstractNumId="124">
    <w:nsid w:val="631B64D4"/>
    <w:multiLevelType w:val="hybridMultilevel"/>
    <w:lvl w:ilvl="0">
      <w:lvlJc w:val="left"/>
      <w:lvlText w:val="(%1)"/>
      <w:numFmt w:val="decimal"/>
      <w:start w:val="5"/>
    </w:lvl>
  </w:abstractNum>
  <w:abstractNum w:abstractNumId="125">
    <w:nsid w:val="78B5E776"/>
    <w:multiLevelType w:val="hybridMultilevel"/>
    <w:lvl w:ilvl="0">
      <w:lvlJc w:val="left"/>
      <w:lvlText w:val="(%1)"/>
      <w:numFmt w:val="lowerLetter"/>
      <w:start w:val="2"/>
    </w:lvl>
  </w:abstractNum>
  <w:abstractNum w:abstractNumId="126">
    <w:nsid w:val="75486E47"/>
    <w:multiLevelType w:val="hybridMultilevel"/>
    <w:lvl w:ilvl="0">
      <w:lvlJc w:val="left"/>
      <w:lvlText w:val="(%1)"/>
      <w:numFmt w:val="decimal"/>
      <w:start w:val="1"/>
    </w:lvl>
  </w:abstractNum>
  <w:abstractNum w:abstractNumId="127">
    <w:nsid w:val="6E534CDE"/>
    <w:multiLevelType w:val="hybridMultilevel"/>
    <w:lvl w:ilvl="0">
      <w:lvlJc w:val="left"/>
      <w:lvlText w:val="(%1)"/>
      <w:numFmt w:val="lowerLetter"/>
      <w:start w:val="3"/>
    </w:lvl>
  </w:abstractNum>
  <w:abstractNum w:abstractNumId="128">
    <w:nsid w:val="1A0DDE32"/>
    <w:multiLevelType w:val="hybridMultilevel"/>
    <w:lvl w:ilvl="0">
      <w:lvlJc w:val="left"/>
      <w:lvlText w:val="(%1)"/>
      <w:numFmt w:val="lowerLetter"/>
      <w:start w:val="1"/>
    </w:lvl>
  </w:abstractNum>
  <w:abstractNum w:abstractNumId="129">
    <w:nsid w:val="65968C1C"/>
    <w:multiLevelType w:val="hybridMultilevel"/>
    <w:lvl w:ilvl="0">
      <w:lvlJc w:val="left"/>
      <w:lvlText w:val="(%1)"/>
      <w:numFmt w:val="lowerLetter"/>
      <w:start w:val="61"/>
    </w:lvl>
    <w:lvl w:ilvl="1">
      <w:lvlJc w:val="left"/>
      <w:lvlText w:val="(%2)"/>
      <w:numFmt w:val="lowerLetter"/>
      <w:start w:val="2"/>
    </w:lvl>
  </w:abstractNum>
  <w:abstractNum w:abstractNumId="130">
    <w:nsid w:val="46263DEC"/>
    <w:multiLevelType w:val="hybridMultilevel"/>
    <w:lvl w:ilvl="0">
      <w:lvlJc w:val="left"/>
      <w:lvlText w:val="%1."/>
      <w:numFmt w:val="decimal"/>
      <w:start w:val="2"/>
    </w:lvl>
  </w:abstractNum>
  <w:abstractNum w:abstractNumId="131">
    <w:nsid w:val="260D8C4A"/>
    <w:multiLevelType w:val="hybridMultilevel"/>
    <w:lvl w:ilvl="0">
      <w:lvlJc w:val="left"/>
      <w:lvlText w:val="(%1)"/>
      <w:numFmt w:val="lowerLetter"/>
      <w:start w:val="2"/>
    </w:lvl>
  </w:abstractNum>
  <w:abstractNum w:abstractNumId="132">
    <w:nsid w:val="73D4D3C4"/>
    <w:multiLevelType w:val="hybridMultilevel"/>
    <w:lvl w:ilvl="0">
      <w:lvlJc w:val="left"/>
      <w:lvlText w:val="%1."/>
      <w:numFmt w:val="decimal"/>
      <w:start w:val="3"/>
    </w:lvl>
  </w:abstractNum>
  <w:abstractNum w:abstractNumId="133">
    <w:nsid w:val="746F2E30"/>
    <w:multiLevelType w:val="hybridMultilevel"/>
    <w:lvl w:ilvl="0">
      <w:lvlJc w:val="left"/>
      <w:lvlText w:val="(%1)"/>
      <w:numFmt w:val="lowerLetter"/>
      <w:start w:val="2"/>
    </w:lvl>
  </w:abstractNum>
  <w:abstractNum w:abstractNumId="134">
    <w:nsid w:val="6FDE8AF6"/>
    <w:multiLevelType w:val="hybridMultilevel"/>
    <w:lvl w:ilvl="0">
      <w:lvlJc w:val="left"/>
      <w:lvlText w:val="%1"/>
      <w:numFmt w:val="decimal"/>
      <w:start w:val="1"/>
    </w:lvl>
    <w:lvl w:ilvl="1">
      <w:lvlJc w:val="left"/>
      <w:lvlText w:val="%2."/>
      <w:numFmt w:val="decimal"/>
      <w:start w:val="4"/>
    </w:lvl>
  </w:abstractNum>
  <w:abstractNum w:abstractNumId="135">
    <w:nsid w:val="3FC32E20"/>
    <w:multiLevelType w:val="hybridMultilevel"/>
    <w:lvl w:ilvl="0">
      <w:lvlJc w:val="left"/>
      <w:lvlText w:val="(%1)"/>
      <w:numFmt w:val="decimal"/>
      <w:start w:val="3"/>
    </w:lvl>
    <w:lvl w:ilvl="1">
      <w:lvlJc w:val="left"/>
      <w:lvlText w:val="%2"/>
      <w:numFmt w:val="decimal"/>
      <w:start w:val="1"/>
    </w:lvl>
  </w:abstractNum>
  <w:abstractNum w:abstractNumId="136">
    <w:nsid w:val="49C0E823"/>
    <w:multiLevelType w:val="hybridMultilevel"/>
    <w:lvl w:ilvl="0">
      <w:lvlJc w:val="left"/>
      <w:lvlText w:val="%1."/>
      <w:numFmt w:val="decimal"/>
      <w:start w:val="5"/>
    </w:lvl>
  </w:abstractNum>
  <w:abstractNum w:abstractNumId="137">
    <w:nsid w:val="14D53685"/>
    <w:multiLevelType w:val="hybridMultilevel"/>
    <w:lvl w:ilvl="0">
      <w:lvlJc w:val="left"/>
      <w:lvlText w:val="(%1)"/>
      <w:numFmt w:val="lowerLetter"/>
      <w:start w:val="1"/>
    </w:lvl>
  </w:abstractNum>
  <w:abstractNum w:abstractNumId="138">
    <w:nsid w:val="230F856C"/>
    <w:multiLevelType w:val="hybridMultilevel"/>
    <w:lvl w:ilvl="0">
      <w:lvlJc w:val="left"/>
      <w:lvlText w:val="(%1)"/>
      <w:numFmt w:val="lowerLetter"/>
      <w:start w:val="2"/>
    </w:lvl>
  </w:abstractNum>
  <w:abstractNum w:abstractNumId="139">
    <w:nsid w:val="6EAA85FB"/>
    <w:multiLevelType w:val="hybridMultilevel"/>
    <w:lvl w:ilvl="0">
      <w:lvlJc w:val="left"/>
      <w:lvlText w:val="%1."/>
      <w:numFmt w:val="decimal"/>
      <w:start w:val="8"/>
    </w:lvl>
  </w:abstractNum>
  <w:abstractNum w:abstractNumId="140">
    <w:nsid w:val="3F06ECB2"/>
    <w:multiLevelType w:val="hybridMultilevel"/>
    <w:lvl w:ilvl="0">
      <w:lvlJc w:val="left"/>
      <w:lvlText w:val="%1."/>
      <w:numFmt w:val="decimal"/>
      <w:start w:val="11"/>
    </w:lvl>
  </w:abstractNum>
  <w:abstractNum w:abstractNumId="141">
    <w:nsid w:val="3B594807"/>
    <w:multiLevelType w:val="hybridMultilevel"/>
    <w:lvl w:ilvl="0">
      <w:lvlJc w:val="left"/>
      <w:lvlText w:val="%1."/>
      <w:numFmt w:val="decimal"/>
      <w:start w:val="17"/>
    </w:lvl>
  </w:abstractNum>
  <w:abstractNum w:abstractNumId="142">
    <w:nsid w:val="6CAA2304"/>
    <w:multiLevelType w:val="hybridMultilevel"/>
    <w:lvl w:ilvl="0">
      <w:lvlJc w:val="left"/>
      <w:lvlText w:val="%1."/>
      <w:numFmt w:val="decimal"/>
      <w:start w:val="1"/>
    </w:lvl>
  </w:abstractNum>
  <w:abstractNum w:abstractNumId="143">
    <w:nsid w:val="3F7C2FF4"/>
    <w:multiLevelType w:val="hybridMultilevel"/>
    <w:lvl w:ilvl="0">
      <w:lvlJc w:val="left"/>
      <w:lvlText w:val="%1."/>
      <w:numFmt w:val="decimal"/>
      <w:start w:val="5"/>
    </w:lvl>
  </w:abstractNum>
  <w:abstractNum w:abstractNumId="144">
    <w:nsid w:val="25413BEC"/>
    <w:multiLevelType w:val="hybridMultilevel"/>
    <w:lvl w:ilvl="0">
      <w:lvlJc w:val="left"/>
      <w:lvlText w:val="(%1)"/>
      <w:numFmt w:val="decimal"/>
      <w:start w:val="1"/>
    </w:lvl>
  </w:abstractNum>
  <w:abstractNum w:abstractNumId="145">
    <w:nsid w:val="17180B0B"/>
    <w:multiLevelType w:val="hybridMultilevel"/>
    <w:lvl w:ilvl="0">
      <w:lvlJc w:val="left"/>
      <w:lvlText w:val="(%1)"/>
      <w:numFmt w:val="decimal"/>
      <w:start w:val="2"/>
    </w:lvl>
  </w:abstractNum>
  <w:abstractNum w:abstractNumId="146">
    <w:nsid w:val="579328B9"/>
    <w:multiLevelType w:val="hybridMultilevel"/>
    <w:lvl w:ilvl="0">
      <w:lvlJc w:val="left"/>
      <w:lvlText w:val="(%1)"/>
      <w:numFmt w:val="lowerLetter"/>
      <w:start w:val="1"/>
    </w:lvl>
  </w:abstractNum>
  <w:abstractNum w:abstractNumId="147">
    <w:nsid w:val="5D205E20"/>
    <w:multiLevelType w:val="hybridMultilevel"/>
    <w:lvl w:ilvl="0">
      <w:lvlJc w:val="left"/>
      <w:lvlText w:val="(%1)"/>
      <w:numFmt w:val="lowerLetter"/>
      <w:start w:val="3"/>
    </w:lvl>
  </w:abstractNum>
  <w:abstractNum w:abstractNumId="148">
    <w:nsid w:val="11CCA8BA"/>
    <w:multiLevelType w:val="hybridMultilevel"/>
    <w:lvl w:ilvl="0">
      <w:lvlJc w:val="left"/>
      <w:lvlText w:val="(%1)"/>
      <w:numFmt w:val="decimal"/>
      <w:start w:val="3"/>
    </w:lvl>
  </w:abstractNum>
  <w:abstractNum w:abstractNumId="149">
    <w:nsid w:val="4D32AB86"/>
    <w:multiLevelType w:val="hybridMultilevel"/>
    <w:lvl w:ilvl="0">
      <w:lvlJc w:val="left"/>
      <w:lvlText w:val="%1."/>
      <w:numFmt w:val="decimal"/>
      <w:start w:val="1"/>
    </w:lvl>
    <w:lvl w:ilvl="1">
      <w:lvlJc w:val="left"/>
      <w:lvlText w:val="(%2)"/>
      <w:numFmt w:val="lowerLetter"/>
      <w:start w:val="1"/>
    </w:lvl>
  </w:abstractNum>
  <w:abstractNum w:abstractNumId="150">
    <w:nsid w:val="3F07ACC3"/>
    <w:multiLevelType w:val="hybridMultilevel"/>
    <w:lvl w:ilvl="0">
      <w:lvlJc w:val="left"/>
      <w:lvlText w:val="%1"/>
      <w:numFmt w:val="decimal"/>
      <w:start w:val="1"/>
    </w:lvl>
    <w:lvl w:ilvl="1">
      <w:lvlJc w:val="left"/>
      <w:lvlText w:val="(%2)"/>
      <w:numFmt w:val="lowerLetter"/>
      <w:start w:val="2"/>
    </w:lvl>
  </w:abstractNum>
  <w:abstractNum w:abstractNumId="151">
    <w:nsid w:val="6B47F63E"/>
    <w:multiLevelType w:val="hybridMultilevel"/>
    <w:lvl w:ilvl="0">
      <w:lvlJc w:val="left"/>
      <w:lvlText w:val="%1."/>
      <w:numFmt w:val="decimal"/>
      <w:start w:val="3"/>
    </w:lvl>
    <w:lvl w:ilvl="1">
      <w:lvlJc w:val="left"/>
      <w:lvlText w:val="(%2)"/>
      <w:numFmt w:val="lowerLetter"/>
      <w:start w:val="1"/>
    </w:lvl>
  </w:abstractNum>
  <w:abstractNum w:abstractNumId="152">
    <w:nsid w:val="5CB44A05"/>
    <w:multiLevelType w:val="hybridMultilevel"/>
    <w:lvl w:ilvl="0">
      <w:lvlJc w:val="left"/>
      <w:lvlText w:val="(%1)"/>
      <w:numFmt w:val="lowerLetter"/>
      <w:start w:val="3"/>
    </w:lvl>
  </w:abstractNum>
  <w:abstractNum w:abstractNumId="153">
    <w:nsid w:val="16CF80F1"/>
    <w:multiLevelType w:val="hybridMultilevel"/>
    <w:lvl w:ilvl="0">
      <w:lvlJc w:val="left"/>
      <w:lvlText w:val="%1"/>
      <w:numFmt w:val="decimal"/>
      <w:start w:val="1"/>
    </w:lvl>
    <w:lvl w:ilvl="1">
      <w:lvlJc w:val="left"/>
      <w:lvlText w:val="(%2)"/>
      <w:numFmt w:val="lowerLetter"/>
      <w:start w:val="4"/>
    </w:lvl>
  </w:abstractNum>
  <w:abstractNum w:abstractNumId="154">
    <w:nsid w:val="1C695DEC"/>
    <w:multiLevelType w:val="hybridMultilevel"/>
    <w:lvl w:ilvl="0">
      <w:lvlJc w:val="left"/>
      <w:lvlText w:val="%1."/>
      <w:numFmt w:val="decimal"/>
      <w:start w:val="4"/>
    </w:lvl>
    <w:lvl w:ilvl="1">
      <w:lvlJc w:val="left"/>
      <w:lvlText w:val="%2"/>
      <w:numFmt w:val="lowerLetter"/>
      <w:start w:val="1"/>
    </w:lvl>
  </w:abstractNum>
  <w:abstractNum w:abstractNumId="155">
    <w:nsid w:val="3FCFAED9"/>
    <w:multiLevelType w:val="hybridMultilevel"/>
    <w:lvl w:ilvl="0">
      <w:lvlJc w:val="left"/>
      <w:lvlText w:val="%1."/>
      <w:numFmt w:val="decimal"/>
      <w:start w:val="9"/>
    </w:lvl>
    <w:lvl w:ilvl="1">
      <w:lvlJc w:val="left"/>
      <w:lvlText w:val="(%2)"/>
      <w:numFmt w:val="lowerLetter"/>
      <w:start w:val="1"/>
    </w:lvl>
  </w:abstractNum>
  <w:abstractNum w:abstractNumId="156">
    <w:nsid w:val="F856867"/>
    <w:multiLevelType w:val="hybridMultilevel"/>
    <w:lvl w:ilvl="0">
      <w:lvlJc w:val="left"/>
      <w:lvlText w:val="(%1)"/>
      <w:numFmt w:val="lowerLetter"/>
      <w:start w:val="4"/>
    </w:lvl>
  </w:abstractNum>
  <w:abstractNum w:abstractNumId="157">
    <w:nsid w:val="11B1CC33"/>
    <w:multiLevelType w:val="hybridMultilevel"/>
    <w:lvl w:ilvl="0">
      <w:lvlJc w:val="left"/>
      <w:lvlText w:val="(%1)"/>
      <w:numFmt w:val="lowerLetter"/>
      <w:start w:val="5"/>
    </w:lvl>
    <w:lvl w:ilvl="1">
      <w:lvlJc w:val="left"/>
      <w:lvlText w:val="(%2)"/>
      <w:numFmt w:val="lowerLetter"/>
      <w:start w:val="9"/>
    </w:lvl>
  </w:abstractNum>
  <w:abstractNum w:abstractNumId="158">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9">
    <w:nsid w:val="29934699"/>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60">
    <w:nsid w:val="7748585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61">
    <w:nsid w:val="744939A3"/>
    <w:multiLevelType w:val="hybridMultilevel"/>
    <w:lvl w:ilvl="0">
      <w:lvlJc w:val="left"/>
      <w:lvlText w:val="%1."/>
      <w:numFmt w:val="decimal"/>
      <w:start w:val="11"/>
    </w:lvl>
    <w:lvl w:ilvl="1">
      <w:lvlJc w:val="left"/>
      <w:lvlText w:val="(%2)"/>
      <w:numFmt w:val="lowerLetter"/>
      <w:start w:val="1"/>
    </w:lvl>
  </w:abstractNum>
  <w:abstractNum w:abstractNumId="162">
    <w:nsid w:val="4FA0D2E3"/>
    <w:multiLevelType w:val="hybridMultilevel"/>
    <w:lvl w:ilvl="0">
      <w:lvlJc w:val="left"/>
      <w:lvlText w:val="(%1)"/>
      <w:numFmt w:val="lowerRoman"/>
      <w:start w:val="10"/>
    </w:lvl>
  </w:abstractNum>
  <w:abstractNum w:abstractNumId="163">
    <w:nsid w:val="6B1D2C14"/>
    <w:multiLevelType w:val="hybridMultilevel"/>
    <w:lvl w:ilvl="0">
      <w:lvlJc w:val="left"/>
      <w:lvlText w:val="(%1)"/>
      <w:numFmt w:val="lowerLetter"/>
      <w:start w:val="25"/>
    </w:lvl>
  </w:abstractNum>
  <w:abstractNum w:abstractNumId="164">
    <w:nsid w:val="68B867D3"/>
    <w:multiLevelType w:val="hybridMultilevel"/>
    <w:lvl w:ilvl="0">
      <w:lvlJc w:val="left"/>
      <w:lvlText w:val="%1"/>
      <w:numFmt w:val="upperLetter"/>
      <w:start w:val="1"/>
    </w:lvl>
    <w:lvl w:ilvl="1">
      <w:lvlJc w:val="left"/>
      <w:lvlText w:val="%2."/>
      <w:numFmt w:val="decimal"/>
      <w:start w:val="12"/>
    </w:lvl>
  </w:abstractNum>
  <w:abstractNum w:abstractNumId="165">
    <w:nsid w:val="3F7F5DD9"/>
    <w:multiLevelType w:val="hybridMultilevel"/>
    <w:lvl w:ilvl="0">
      <w:lvlJc w:val="left"/>
      <w:lvlText w:val="%1."/>
      <w:numFmt w:val="decimal"/>
      <w:start w:val="14"/>
    </w:lvl>
    <w:lvl w:ilvl="1">
      <w:lvlJc w:val="left"/>
      <w:lvlText w:val="(%2)"/>
      <w:numFmt w:val="lowerLetter"/>
      <w:start w:val="1"/>
    </w:lvl>
  </w:abstractNum>
  <w:abstractNum w:abstractNumId="166">
    <w:nsid w:val="2AE05A34"/>
    <w:multiLevelType w:val="hybridMultilevel"/>
    <w:lvl w:ilvl="0">
      <w:lvlJc w:val="left"/>
      <w:lvlText w:val="-"/>
      <w:numFmt w:val="bullet"/>
      <w:start w:val="1"/>
    </w:lvl>
  </w:abstractNum>
  <w:abstractNum w:abstractNumId="167">
    <w:nsid w:val="32794FF7"/>
    <w:multiLevelType w:val="hybridMultilevel"/>
    <w:lvl w:ilvl="0">
      <w:lvlJc w:val="left"/>
      <w:lvlText w:val="-"/>
      <w:numFmt w:val="bullet"/>
      <w:start w:val="1"/>
    </w:lvl>
  </w:abstractNum>
  <w:abstractNum w:abstractNumId="168">
    <w:nsid w:val="5454945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2019-12-13T21:02:27Z</dcterms:created>
  <dcterms:modified xsi:type="dcterms:W3CDTF">2019-12-13T21:02:27Z</dcterms:modified>
</cp:coreProperties>
</file>