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Bornstein Yoseph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Microbot Medical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13"/>
                <w:szCs w:val="13"/>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2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3000" w:type="dxa"/>
            <w:vAlign w:val="bottom"/>
            <w:gridSpan w:val="7"/>
            <w:vMerge w:val="continue"/>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MICROBOT MEDICAL INC.</w:t>
            </w: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08/17/2020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25 RECREATION PARK DRIVE, UNIT 108</w:t>
            </w: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90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HINGHAM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02043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9"/>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4"/>
                <w:szCs w:val="14"/>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3"/>
            <w:vMerge w:val="restart"/>
          </w:tcPr>
          <w:p>
            <w:pPr>
              <w:ind w:left="620"/>
              <w:spacing w:after="0"/>
              <w:rPr>
                <w:sz w:val="20"/>
                <w:szCs w:val="20"/>
                <w:color w:val="auto"/>
              </w:rPr>
            </w:pPr>
            <w:r>
              <w:rPr>
                <w:rFonts w:ascii="Arial" w:cs="Arial" w:eastAsia="Arial" w:hAnsi="Arial"/>
                <w:sz w:val="17"/>
                <w:szCs w:val="17"/>
                <w:color w:val="0000FF"/>
                <w:w w:val="91"/>
              </w:rPr>
              <w:t>08/17/2020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7"/>
                <w:szCs w:val="17"/>
                <w:color w:val="0000FF"/>
              </w:rPr>
              <w:t>15,000</w:t>
            </w:r>
          </w:p>
        </w:tc>
        <w:tc>
          <w:tcPr>
            <w:tcW w:w="80" w:type="dxa"/>
            <w:vAlign w:val="bottom"/>
          </w:tcPr>
          <w:p>
            <w:pPr>
              <w:spacing w:after="0"/>
              <w:rPr>
                <w:sz w:val="18"/>
                <w:szCs w:val="18"/>
                <w:color w:val="auto"/>
              </w:rPr>
            </w:pPr>
          </w:p>
        </w:tc>
        <w:tc>
          <w:tcPr>
            <w:tcW w:w="380" w:type="dxa"/>
            <w:vAlign w:val="bottom"/>
            <w:vMerge w:val="restart"/>
          </w:tcPr>
          <w:p>
            <w:pPr>
              <w:jc w:val="center"/>
              <w:ind w:right="135"/>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10.1784</w:t>
            </w:r>
          </w:p>
        </w:tc>
        <w:tc>
          <w:tcPr>
            <w:tcW w:w="1200" w:type="dxa"/>
            <w:vAlign w:val="bottom"/>
            <w:gridSpan w:val="3"/>
            <w:vMerge w:val="restart"/>
          </w:tcPr>
          <w:p>
            <w:pPr>
              <w:ind w:left="240"/>
              <w:spacing w:after="0"/>
              <w:rPr>
                <w:sz w:val="20"/>
                <w:szCs w:val="20"/>
                <w:color w:val="auto"/>
              </w:rPr>
            </w:pPr>
            <w:r>
              <w:rPr>
                <w:rFonts w:ascii="Arial" w:cs="Arial" w:eastAsia="Arial" w:hAnsi="Arial"/>
                <w:sz w:val="17"/>
                <w:szCs w:val="17"/>
                <w:color w:val="0000FF"/>
              </w:rPr>
              <w:t>287,028</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3"/>
            <w:vMerge w:val="restart"/>
          </w:tcPr>
          <w:p>
            <w:pPr>
              <w:ind w:left="620"/>
              <w:spacing w:after="0"/>
              <w:rPr>
                <w:sz w:val="20"/>
                <w:szCs w:val="20"/>
                <w:color w:val="auto"/>
              </w:rPr>
            </w:pPr>
            <w:r>
              <w:rPr>
                <w:rFonts w:ascii="Arial" w:cs="Arial" w:eastAsia="Arial" w:hAnsi="Arial"/>
                <w:sz w:val="17"/>
                <w:szCs w:val="17"/>
                <w:color w:val="0000FF"/>
                <w:w w:val="91"/>
              </w:rPr>
              <w:t>08/17/2020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7"/>
                <w:szCs w:val="17"/>
                <w:color w:val="0000FF"/>
              </w:rPr>
              <w:t>119</w:t>
            </w:r>
          </w:p>
        </w:tc>
        <w:tc>
          <w:tcPr>
            <w:tcW w:w="80" w:type="dxa"/>
            <w:vAlign w:val="bottom"/>
          </w:tcPr>
          <w:p>
            <w:pPr>
              <w:spacing w:after="0"/>
              <w:rPr>
                <w:sz w:val="18"/>
                <w:szCs w:val="18"/>
                <w:color w:val="auto"/>
              </w:rPr>
            </w:pPr>
          </w:p>
        </w:tc>
        <w:tc>
          <w:tcPr>
            <w:tcW w:w="380" w:type="dxa"/>
            <w:vAlign w:val="bottom"/>
            <w:vMerge w:val="restart"/>
          </w:tcPr>
          <w:p>
            <w:pPr>
              <w:jc w:val="center"/>
              <w:ind w:right="135"/>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11.9113</w:t>
            </w:r>
          </w:p>
        </w:tc>
        <w:tc>
          <w:tcPr>
            <w:tcW w:w="1200" w:type="dxa"/>
            <w:vAlign w:val="bottom"/>
            <w:gridSpan w:val="3"/>
            <w:vMerge w:val="restart"/>
          </w:tcPr>
          <w:p>
            <w:pPr>
              <w:ind w:left="240"/>
              <w:spacing w:after="0"/>
              <w:rPr>
                <w:sz w:val="20"/>
                <w:szCs w:val="20"/>
                <w:color w:val="auto"/>
              </w:rPr>
            </w:pPr>
            <w:r>
              <w:rPr>
                <w:rFonts w:ascii="Arial" w:cs="Arial" w:eastAsia="Arial" w:hAnsi="Arial"/>
                <w:sz w:val="17"/>
                <w:szCs w:val="17"/>
                <w:color w:val="0000FF"/>
              </w:rPr>
              <w:t>286,909</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-3990975</wp:posOffset>
            </wp:positionV>
            <wp:extent cx="7031355" cy="4036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36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through his Rule 10b5-1 trading plan, sold an aggregate of 15,119 shares of Issuer common stock on August 17, 2020. Accordingly, Reporting Person beneficially owned 286,909 shares of Issuer common stock following the reported transactions.</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Yossi Bornstein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08/19/2020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00"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2020-08-19T15:31:26Z</dcterms:created>
  <dcterms:modified xsi:type="dcterms:W3CDTF">2020-08-19T15:31:26Z</dcterms:modified>
</cp:coreProperties>
</file>