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TSUKAMOTO ANN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EVP, Research and Development</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03/11/2011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10,891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0.77</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843,700</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7"/>
              </w:rPr>
              <w:t>22,834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center"/>
              <w:ind w:right="354"/>
              <w:spacing w:after="0"/>
              <w:rPr>
                <w:sz w:val="20"/>
                <w:szCs w:val="20"/>
                <w:color w:val="auto"/>
              </w:rPr>
            </w:pPr>
            <w:r>
              <w:rPr>
                <w:rFonts w:ascii="Arial" w:cs="Arial" w:eastAsia="Arial" w:hAnsi="Arial"/>
                <w:sz w:val="18"/>
                <w:szCs w:val="18"/>
                <w:color w:val="0000FF"/>
                <w:w w:val="87"/>
              </w:rPr>
              <w:t>54,223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700,000 restricted stock units, with 233,333 vesting on each of June 1, 2011, June 1, 2012 and June 1, 2013 and (2) 46,666 restricted stock units, with 23,333 vesting on each of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22,834 shares held in trust as to which Dr. Tsukamoto disclaims beneficial ownership.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05/17/2011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2"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2019-12-18T02:09:49Z</dcterms:created>
  <dcterms:modified xsi:type="dcterms:W3CDTF">2019-12-18T02:09:49Z</dcterms:modified>
</cp:coreProperties>
</file>