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8"/>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7"/>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03/10/2009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10,482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ind w:right="1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1.71</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w w:val="84"/>
              </w:rPr>
              <w:t>72,018</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04/03/2009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17,018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1.6541</w:t>
            </w:r>
            <w:r>
              <w:rPr>
                <w:rFonts w:ascii="Arial" w:cs="Arial" w:eastAsia="Arial" w:hAnsi="Arial"/>
                <w:sz w:val="22"/>
                <w:szCs w:val="22"/>
                <w:color w:val="008000"/>
                <w:w w:val="98"/>
                <w:vertAlign w:val="superscript"/>
              </w:rPr>
              <w:t>(2)</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w w:val="84"/>
              </w:rPr>
              <w:t>55,000</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57"/>
              <w:spacing w:after="0"/>
              <w:rPr>
                <w:sz w:val="20"/>
                <w:szCs w:val="20"/>
                <w:color w:val="auto"/>
              </w:rPr>
            </w:pPr>
            <w:r>
              <w:rPr>
                <w:rFonts w:ascii="Arial" w:cs="Arial" w:eastAsia="Arial" w:hAnsi="Arial"/>
                <w:sz w:val="18"/>
                <w:szCs w:val="18"/>
                <w:color w:val="0000FF"/>
                <w:w w:val="88"/>
              </w:rPr>
              <w:t>9,947</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55,000 restricted stock units, with 1/2 of these vesting on March 10, 2010, and 1/2 of these vesting on March 10, 2011.</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$1.6541 per share price was the weighted average price of open market sales by Mr. Stratton on 4/3/2009. Actual prices ranged from $1.65 per share to $1.67 per share. Mr. Stratton will provide full information about the number of shares sold at each price, upon request by the SEC, the issuer or any security holder of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88"/>
              </w:rPr>
              <w:t>/s/ Kenneth B. Stratton</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04/07/2009</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2019-12-24T02:37:50Z</dcterms:created>
  <dcterms:modified xsi:type="dcterms:W3CDTF">2019-12-24T02:37:50Z</dcterms:modified>
</cp:coreProperties>
</file>