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10-Q/A</w:t>
      </w:r>
    </w:p>
    <w:p>
      <w:pPr>
        <w:spacing w:after="0" w:line="34" w:lineRule="exact"/>
        <w:rPr>
          <w:sz w:val="20"/>
          <w:szCs w:val="20"/>
          <w:color w:val="auto"/>
        </w:rPr>
      </w:pPr>
    </w:p>
    <w:p>
      <w:pPr>
        <w:ind w:left="4800"/>
        <w:spacing w:after="0"/>
        <w:rPr>
          <w:sz w:val="20"/>
          <w:szCs w:val="20"/>
          <w:color w:val="auto"/>
        </w:rPr>
      </w:pPr>
      <w:r>
        <w:rPr>
          <w:rFonts w:ascii="Arial" w:cs="Arial" w:eastAsia="Arial" w:hAnsi="Arial"/>
          <w:sz w:val="22"/>
          <w:szCs w:val="22"/>
          <w:b w:val="1"/>
          <w:bCs w:val="1"/>
          <w:color w:val="auto"/>
        </w:rPr>
        <w:t>(Amendment No. 1)</w:t>
      </w:r>
    </w:p>
    <w:p>
      <w:pPr>
        <w:spacing w:after="0" w:line="182" w:lineRule="exact"/>
        <w:rPr>
          <w:sz w:val="20"/>
          <w:szCs w:val="20"/>
          <w:color w:val="auto"/>
        </w:rPr>
      </w:pPr>
    </w:p>
    <w:p>
      <w:pPr>
        <w:ind w:left="2880"/>
        <w:spacing w:after="0"/>
        <w:rPr>
          <w:sz w:val="20"/>
          <w:szCs w:val="20"/>
          <w:color w:val="auto"/>
        </w:rPr>
      </w:pPr>
      <w:r>
        <w:rPr>
          <w:rFonts w:ascii="Arial" w:cs="Arial" w:eastAsia="Arial" w:hAnsi="Arial"/>
          <w:sz w:val="22"/>
          <w:szCs w:val="22"/>
          <w:b w:val="1"/>
          <w:bCs w:val="1"/>
          <w:color w:val="auto"/>
        </w:rPr>
        <w:t>QUARTERLY REPORT UNDER SECTION 13 OR 15(d)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0"/>
          <w:szCs w:val="20"/>
          <w:color w:val="auto"/>
        </w:rPr>
      </w:pPr>
    </w:p>
    <w:p>
      <w:pPr>
        <w:spacing w:after="0"/>
        <w:tabs>
          <w:tab w:leader="none" w:pos="8100" w:val="left"/>
        </w:tabs>
        <w:rPr>
          <w:sz w:val="20"/>
          <w:szCs w:val="20"/>
          <w:color w:val="auto"/>
        </w:rPr>
      </w:pPr>
      <w:r>
        <w:rPr>
          <w:rFonts w:ascii="Arial" w:cs="Arial" w:eastAsia="Arial" w:hAnsi="Arial"/>
          <w:sz w:val="18"/>
          <w:szCs w:val="18"/>
          <w:b w:val="1"/>
          <w:bCs w:val="1"/>
          <w:color w:val="auto"/>
        </w:rPr>
        <w:t>For the quarter ended: June 30, 2006</w:t>
      </w:r>
      <w:r>
        <w:rPr>
          <w:sz w:val="20"/>
          <w:szCs w:val="20"/>
          <w:color w:val="auto"/>
        </w:rPr>
        <w:tab/>
      </w:r>
      <w:r>
        <w:rPr>
          <w:rFonts w:ascii="Arial" w:cs="Arial" w:eastAsia="Arial" w:hAnsi="Arial"/>
          <w:sz w:val="16"/>
          <w:szCs w:val="16"/>
          <w:b w:val="1"/>
          <w:bCs w:val="1"/>
          <w:color w:val="auto"/>
        </w:rPr>
        <w:t xml:space="preserve">Commission File Number: </w:t>
      </w:r>
      <w:r>
        <w:rPr>
          <w:rFonts w:ascii="Arial" w:cs="Arial" w:eastAsia="Arial" w:hAnsi="Arial"/>
          <w:sz w:val="16"/>
          <w:szCs w:val="16"/>
          <w:b w:val="1"/>
          <w:bCs w:val="1"/>
          <w:u w:val="single" w:color="auto"/>
          <w:color w:val="auto"/>
        </w:rPr>
        <w:t>0-19871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530"/>
        </w:trPr>
        <w:tc>
          <w:tcPr>
            <w:tcW w:w="3840" w:type="dxa"/>
            <w:vAlign w:val="bottom"/>
          </w:tcPr>
          <w:p>
            <w:pPr>
              <w:spacing w:after="0"/>
              <w:rPr>
                <w:sz w:val="24"/>
                <w:szCs w:val="24"/>
                <w:color w:val="auto"/>
              </w:rPr>
            </w:pPr>
          </w:p>
        </w:tc>
        <w:tc>
          <w:tcPr>
            <w:tcW w:w="3760" w:type="dxa"/>
            <w:vAlign w:val="bottom"/>
            <w:tcBorders>
              <w:bottom w:val="single" w:sz="8" w:color="auto"/>
            </w:tcBorders>
            <w:gridSpan w:val="5"/>
          </w:tcPr>
          <w:p>
            <w:pPr>
              <w:jc w:val="center"/>
              <w:spacing w:after="0"/>
              <w:rPr>
                <w:sz w:val="20"/>
                <w:szCs w:val="20"/>
                <w:color w:val="auto"/>
              </w:rPr>
            </w:pPr>
            <w:r>
              <w:rPr>
                <w:rFonts w:ascii="Arial" w:cs="Arial" w:eastAsia="Arial" w:hAnsi="Arial"/>
                <w:sz w:val="43"/>
                <w:szCs w:val="43"/>
                <w:b w:val="1"/>
                <w:bCs w:val="1"/>
                <w:color w:val="auto"/>
              </w:rPr>
              <w:t>STEMCELLS, INC.</w:t>
            </w:r>
          </w:p>
        </w:tc>
        <w:tc>
          <w:tcPr>
            <w:tcW w:w="3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318"/>
        </w:trPr>
        <w:tc>
          <w:tcPr>
            <w:tcW w:w="3840" w:type="dxa"/>
            <w:vAlign w:val="bottom"/>
          </w:tcPr>
          <w:p>
            <w:pPr>
              <w:spacing w:after="0"/>
              <w:rPr>
                <w:sz w:val="24"/>
                <w:szCs w:val="24"/>
                <w:color w:val="auto"/>
              </w:rPr>
            </w:pPr>
          </w:p>
        </w:tc>
        <w:tc>
          <w:tcPr>
            <w:tcW w:w="4100" w:type="dxa"/>
            <w:vAlign w:val="bottom"/>
            <w:gridSpan w:val="6"/>
          </w:tcPr>
          <w:p>
            <w:pPr>
              <w:jc w:val="center"/>
              <w:ind w:right="340"/>
              <w:spacing w:after="0"/>
              <w:rPr>
                <w:sz w:val="20"/>
                <w:szCs w:val="20"/>
                <w:color w:val="auto"/>
              </w:rPr>
            </w:pPr>
            <w:r>
              <w:rPr>
                <w:rFonts w:ascii="Arial" w:cs="Arial" w:eastAsia="Arial" w:hAnsi="Arial"/>
                <w:sz w:val="18"/>
                <w:szCs w:val="18"/>
                <w:color w:val="auto"/>
                <w:w w:val="90"/>
              </w:rPr>
              <w:t>(Exact name of registrant as specified in its charter)</w:t>
            </w:r>
          </w:p>
        </w:tc>
        <w:tc>
          <w:tcPr>
            <w:tcW w:w="3480" w:type="dxa"/>
            <w:vAlign w:val="bottom"/>
          </w:tcPr>
          <w:p>
            <w:pPr>
              <w:spacing w:after="0"/>
              <w:rPr>
                <w:sz w:val="24"/>
                <w:szCs w:val="24"/>
                <w:color w:val="auto"/>
              </w:rPr>
            </w:pPr>
          </w:p>
        </w:tc>
      </w:tr>
      <w:tr>
        <w:trPr>
          <w:trHeight w:val="432"/>
        </w:trPr>
        <w:tc>
          <w:tcPr>
            <w:tcW w:w="7940" w:type="dxa"/>
            <w:vAlign w:val="bottom"/>
            <w:gridSpan w:val="7"/>
          </w:tcPr>
          <w:p>
            <w:pPr>
              <w:jc w:val="center"/>
              <w:ind w:right="2520"/>
              <w:spacing w:after="0"/>
              <w:rPr>
                <w:sz w:val="20"/>
                <w:szCs w:val="20"/>
                <w:color w:val="auto"/>
              </w:rPr>
            </w:pPr>
            <w:r>
              <w:rPr>
                <w:rFonts w:ascii="Arial" w:cs="Arial" w:eastAsia="Arial" w:hAnsi="Arial"/>
                <w:sz w:val="18"/>
                <w:szCs w:val="18"/>
                <w:color w:val="auto"/>
                <w:w w:val="96"/>
              </w:rPr>
              <w:t>DELAWARE</w:t>
            </w:r>
          </w:p>
        </w:tc>
        <w:tc>
          <w:tcPr>
            <w:tcW w:w="3480" w:type="dxa"/>
            <w:vAlign w:val="bottom"/>
          </w:tcPr>
          <w:p>
            <w:pPr>
              <w:jc w:val="center"/>
              <w:ind w:right="1850"/>
              <w:spacing w:after="0"/>
              <w:rPr>
                <w:sz w:val="20"/>
                <w:szCs w:val="20"/>
                <w:color w:val="auto"/>
              </w:rPr>
            </w:pPr>
            <w:r>
              <w:rPr>
                <w:rFonts w:ascii="Arial" w:cs="Arial" w:eastAsia="Arial" w:hAnsi="Arial"/>
                <w:sz w:val="18"/>
                <w:szCs w:val="18"/>
                <w:color w:val="auto"/>
                <w:w w:val="89"/>
              </w:rPr>
              <w:t>94-3078125</w:t>
            </w:r>
          </w:p>
        </w:tc>
      </w:tr>
      <w:tr>
        <w:trPr>
          <w:trHeight w:val="209"/>
        </w:trPr>
        <w:tc>
          <w:tcPr>
            <w:tcW w:w="54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480" w:type="dxa"/>
            <w:vAlign w:val="bottom"/>
            <w:tcBorders>
              <w:top w:val="single" w:sz="8" w:color="auto"/>
            </w:tcBorders>
          </w:tcPr>
          <w:p>
            <w:pPr>
              <w:jc w:val="center"/>
              <w:ind w:right="1850"/>
              <w:spacing w:after="0"/>
              <w:rPr>
                <w:sz w:val="20"/>
                <w:szCs w:val="20"/>
                <w:color w:val="auto"/>
              </w:rPr>
            </w:pPr>
            <w:r>
              <w:rPr>
                <w:rFonts w:ascii="Arial" w:cs="Arial" w:eastAsia="Arial" w:hAnsi="Arial"/>
                <w:sz w:val="18"/>
                <w:szCs w:val="18"/>
                <w:color w:val="auto"/>
                <w:w w:val="92"/>
              </w:rPr>
              <w:t>(I.R.S. Employer</w:t>
            </w:r>
          </w:p>
        </w:tc>
      </w:tr>
      <w:tr>
        <w:trPr>
          <w:trHeight w:val="230"/>
        </w:trPr>
        <w:tc>
          <w:tcPr>
            <w:tcW w:w="7940" w:type="dxa"/>
            <w:vAlign w:val="bottom"/>
            <w:gridSpan w:val="7"/>
          </w:tcPr>
          <w:p>
            <w:pPr>
              <w:jc w:val="center"/>
              <w:ind w:right="2500"/>
              <w:spacing w:after="0"/>
              <w:rPr>
                <w:sz w:val="20"/>
                <w:szCs w:val="20"/>
                <w:color w:val="auto"/>
              </w:rPr>
            </w:pPr>
            <w:r>
              <w:rPr>
                <w:rFonts w:ascii="Arial" w:cs="Arial" w:eastAsia="Arial" w:hAnsi="Arial"/>
                <w:sz w:val="18"/>
                <w:szCs w:val="18"/>
                <w:color w:val="auto"/>
                <w:w w:val="92"/>
              </w:rPr>
              <w:t>incorporation or organization)</w:t>
            </w:r>
          </w:p>
        </w:tc>
        <w:tc>
          <w:tcPr>
            <w:tcW w:w="3480" w:type="dxa"/>
            <w:vAlign w:val="bottom"/>
          </w:tcPr>
          <w:p>
            <w:pPr>
              <w:jc w:val="center"/>
              <w:ind w:right="18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120" w:type="dxa"/>
            <w:vAlign w:val="bottom"/>
            <w:gridSpan w:val="5"/>
          </w:tcPr>
          <w:p>
            <w:pPr>
              <w:jc w:val="center"/>
              <w:ind w:right="1320"/>
              <w:spacing w:after="0"/>
              <w:rPr>
                <w:sz w:val="20"/>
                <w:szCs w:val="20"/>
                <w:color w:val="auto"/>
              </w:rPr>
            </w:pPr>
            <w:r>
              <w:rPr>
                <w:rFonts w:ascii="Arial" w:cs="Arial" w:eastAsia="Arial" w:hAnsi="Arial"/>
                <w:sz w:val="18"/>
                <w:szCs w:val="18"/>
                <w:color w:val="auto"/>
                <w:w w:val="93"/>
              </w:rPr>
              <w:t>3155 PORTER DRIVE</w:t>
            </w:r>
          </w:p>
        </w:tc>
        <w:tc>
          <w:tcPr>
            <w:tcW w:w="3480" w:type="dxa"/>
            <w:vAlign w:val="bottom"/>
          </w:tcPr>
          <w:p>
            <w:pPr>
              <w:spacing w:after="0"/>
              <w:rPr>
                <w:sz w:val="24"/>
                <w:szCs w:val="24"/>
                <w:color w:val="auto"/>
              </w:rPr>
            </w:pPr>
          </w:p>
        </w:tc>
      </w:tr>
      <w:tr>
        <w:trPr>
          <w:trHeight w:val="217"/>
        </w:trPr>
        <w:tc>
          <w:tcPr>
            <w:tcW w:w="3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PALO ALTO, CA 94304</w:t>
            </w:r>
          </w:p>
        </w:tc>
        <w:tc>
          <w:tcPr>
            <w:tcW w:w="1320" w:type="dxa"/>
            <w:vAlign w:val="bottom"/>
            <w:gridSpan w:val="2"/>
          </w:tcPr>
          <w:p>
            <w:pPr>
              <w:spacing w:after="0"/>
              <w:rPr>
                <w:sz w:val="18"/>
                <w:szCs w:val="18"/>
                <w:color w:val="auto"/>
              </w:rPr>
            </w:pPr>
          </w:p>
        </w:tc>
        <w:tc>
          <w:tcPr>
            <w:tcW w:w="3480" w:type="dxa"/>
            <w:vAlign w:val="bottom"/>
          </w:tcPr>
          <w:p>
            <w:pPr>
              <w:spacing w:after="0"/>
              <w:rPr>
                <w:sz w:val="18"/>
                <w:szCs w:val="18"/>
                <w:color w:val="auto"/>
              </w:rPr>
            </w:pPr>
          </w:p>
        </w:tc>
      </w:tr>
      <w:tr>
        <w:trPr>
          <w:trHeight w:val="224"/>
        </w:trPr>
        <w:tc>
          <w:tcPr>
            <w:tcW w:w="7940" w:type="dxa"/>
            <w:vAlign w:val="bottom"/>
            <w:gridSpan w:val="7"/>
          </w:tcPr>
          <w:p>
            <w:pPr>
              <w:jc w:val="center"/>
              <w:ind w:left="339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3480" w:type="dxa"/>
            <w:vAlign w:val="bottom"/>
          </w:tcPr>
          <w:p>
            <w:pPr>
              <w:spacing w:after="0"/>
              <w:rPr>
                <w:sz w:val="19"/>
                <w:szCs w:val="19"/>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(650) 475-3100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 w:lineRule="exact"/>
        <w:rPr>
          <w:sz w:val="20"/>
          <w:szCs w:val="20"/>
          <w:color w:val="auto"/>
        </w:rPr>
      </w:pPr>
    </w:p>
    <w:p>
      <w:pPr>
        <w:ind w:left="2980"/>
        <w:spacing w:after="0" w:line="207" w:lineRule="exact"/>
        <w:tabs>
          <w:tab w:leader="none" w:pos="5040" w:val="left"/>
          <w:tab w:leader="none" w:pos="676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 o</w:t>
      </w:r>
    </w:p>
    <w:p>
      <w:pPr>
        <w:spacing w:after="0" w:line="8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At July 26, 2006, there were 77,777,174 shares of Common Stock, $.01 par value,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color w:val="auto"/>
        </w:rPr>
        <w:t>EXPLANATORY NOTE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Amendment No. 1 on Form 10–Q/A (this “Amendment”) amends the Company’s Quarterly Report on Form 10–Q for the second quarter ended June 30, 2006, originally filed on July 31, 2006 (the “Original Filing”). The Company is filing this Amendment solely in order to re-file Exhibit 31.1, Certification of of Martin McGlynn under Section 302 of the Sarbanes-Oxley Act of 2002, and Exhibit 31.2, Certification of Rodney K. B. Young under Section 302 of the Sarbanes-Oxley Act of 2002 (the “Certifications”), both of which include language in paragraph 4 related to internal control over financial reporting that was inadvertently omitted from the Certifications included in the Original Filing. This Form 10–Q/A does not modify or update any other exhibits or disclosures presented in the Original Filing.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PART II — ITEM 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13" w:lineRule="exact"/>
        <w:rPr>
          <w:sz w:val="20"/>
          <w:szCs w:val="20"/>
          <w:color w:val="auto"/>
        </w:rPr>
      </w:pPr>
    </w:p>
    <w:p>
      <w:pPr>
        <w:ind w:right="3580"/>
        <w:spacing w:after="0" w:line="422" w:lineRule="auto"/>
        <w:rPr>
          <w:sz w:val="20"/>
          <w:szCs w:val="20"/>
          <w:color w:val="auto"/>
        </w:rPr>
      </w:pPr>
      <w:r>
        <w:rPr>
          <w:rFonts w:ascii="Arial" w:cs="Arial" w:eastAsia="Arial" w:hAnsi="Arial"/>
          <w:sz w:val="16"/>
          <w:szCs w:val="16"/>
          <w:b w:val="1"/>
          <w:bCs w:val="1"/>
          <w:color w:val="auto"/>
        </w:rPr>
        <w:t xml:space="preserve">Exhibit 31.1 — </w:t>
      </w:r>
      <w:r>
        <w:rPr>
          <w:rFonts w:ascii="Arial" w:cs="Arial" w:eastAsia="Arial" w:hAnsi="Arial"/>
          <w:sz w:val="16"/>
          <w:szCs w:val="16"/>
          <w:color w:val="auto"/>
        </w:rPr>
        <w:t>Certification of Martin McGlynn under Section 302 of the Sarbanes-Oxley Act of 2002</w:t>
      </w:r>
      <w:r>
        <w:rPr>
          <w:rFonts w:ascii="Arial" w:cs="Arial" w:eastAsia="Arial" w:hAnsi="Arial"/>
          <w:sz w:val="16"/>
          <w:szCs w:val="16"/>
          <w:b w:val="1"/>
          <w:bCs w:val="1"/>
          <w:color w:val="auto"/>
        </w:rPr>
        <w:t xml:space="preserve"> Exhibit 31.2 — </w:t>
      </w:r>
      <w:r>
        <w:rPr>
          <w:rFonts w:ascii="Arial" w:cs="Arial" w:eastAsia="Arial" w:hAnsi="Arial"/>
          <w:sz w:val="16"/>
          <w:szCs w:val="16"/>
          <w:color w:val="auto"/>
        </w:rPr>
        <w:t>Certification of Rodney K. B. Young under Section 302 of the Sarbanes-Oxley Act of 2002</w:t>
      </w:r>
    </w:p>
    <w:p>
      <w:pPr>
        <w:spacing w:after="0" w:line="1"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Exhibit 32.1 — </w:t>
      </w:r>
      <w:r>
        <w:rPr>
          <w:rFonts w:ascii="Arial" w:cs="Arial" w:eastAsia="Arial" w:hAnsi="Arial"/>
          <w:sz w:val="18"/>
          <w:szCs w:val="18"/>
          <w:color w:val="auto"/>
        </w:rPr>
        <w:t>Certification of Martin McGlynn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5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Exhibit 32.2 — </w:t>
      </w:r>
      <w:r>
        <w:rPr>
          <w:rFonts w:ascii="Arial" w:cs="Arial" w:eastAsia="Arial" w:hAnsi="Arial"/>
          <w:sz w:val="18"/>
          <w:szCs w:val="18"/>
          <w:color w:val="auto"/>
        </w:rPr>
        <w:t>Certification of Rodney K. B. Young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62" w:right="29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STEMCELLS,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25387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of Registrant)</w:t>
      </w:r>
    </w:p>
    <w:p>
      <w:pPr>
        <w:spacing w:after="0" w:line="225"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August 8, 2006</w:t>
      </w:r>
      <w:r>
        <w:rPr>
          <w:sz w:val="20"/>
          <w:szCs w:val="20"/>
          <w:color w:val="auto"/>
        </w:rPr>
        <w:tab/>
      </w:r>
      <w:r>
        <w:rPr>
          <w:rFonts w:ascii="Arial" w:cs="Arial" w:eastAsia="Arial" w:hAnsi="Arial"/>
          <w:sz w:val="16"/>
          <w:szCs w:val="16"/>
          <w:color w:val="auto"/>
        </w:rPr>
        <w:t>/s/ Rodney K. 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25387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Rodney K. B. Young</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62" w:right="33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13" w:lineRule="exact"/>
        <w:rPr>
          <w:sz w:val="20"/>
          <w:szCs w:val="20"/>
          <w:color w:val="auto"/>
        </w:rPr>
      </w:pPr>
    </w:p>
    <w:p>
      <w:pPr>
        <w:ind w:right="3560"/>
        <w:spacing w:after="0" w:line="422" w:lineRule="auto"/>
        <w:rPr>
          <w:sz w:val="20"/>
          <w:szCs w:val="20"/>
          <w:color w:val="auto"/>
        </w:rPr>
      </w:pPr>
      <w:r>
        <w:rPr>
          <w:rFonts w:ascii="Arial" w:cs="Arial" w:eastAsia="Arial" w:hAnsi="Arial"/>
          <w:sz w:val="16"/>
          <w:szCs w:val="16"/>
          <w:b w:val="1"/>
          <w:bCs w:val="1"/>
          <w:color w:val="auto"/>
        </w:rPr>
        <w:t xml:space="preserve">Exhibit 31.1 — </w:t>
      </w:r>
      <w:r>
        <w:rPr>
          <w:rFonts w:ascii="Arial" w:cs="Arial" w:eastAsia="Arial" w:hAnsi="Arial"/>
          <w:sz w:val="16"/>
          <w:szCs w:val="16"/>
          <w:color w:val="auto"/>
        </w:rPr>
        <w:t>Certification of Martin McGlynn under Section 302 of the Sarbanes-Oxley Act of 2002</w:t>
      </w:r>
      <w:r>
        <w:rPr>
          <w:rFonts w:ascii="Arial" w:cs="Arial" w:eastAsia="Arial" w:hAnsi="Arial"/>
          <w:sz w:val="16"/>
          <w:szCs w:val="16"/>
          <w:b w:val="1"/>
          <w:bCs w:val="1"/>
          <w:color w:val="auto"/>
        </w:rPr>
        <w:t xml:space="preserve"> Exhibit 31.2 — </w:t>
      </w:r>
      <w:r>
        <w:rPr>
          <w:rFonts w:ascii="Arial" w:cs="Arial" w:eastAsia="Arial" w:hAnsi="Arial"/>
          <w:sz w:val="16"/>
          <w:szCs w:val="16"/>
          <w:color w:val="auto"/>
        </w:rPr>
        <w:t>Certification of Rodney K. B. Young under Section 302 of the Sarbanes-Oxley Act of 2002</w:t>
      </w:r>
    </w:p>
    <w:p>
      <w:pPr>
        <w:spacing w:after="0" w:line="1"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Exhibit 32.1 — </w:t>
      </w:r>
      <w:r>
        <w:rPr>
          <w:rFonts w:ascii="Arial" w:cs="Arial" w:eastAsia="Arial" w:hAnsi="Arial"/>
          <w:sz w:val="18"/>
          <w:szCs w:val="18"/>
          <w:color w:val="auto"/>
        </w:rPr>
        <w:t>Certification of Martin McGlynn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5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Exhibit 32.2 — </w:t>
      </w:r>
      <w:r>
        <w:rPr>
          <w:rFonts w:ascii="Arial" w:cs="Arial" w:eastAsia="Arial" w:hAnsi="Arial"/>
          <w:sz w:val="18"/>
          <w:szCs w:val="18"/>
          <w:color w:val="auto"/>
        </w:rPr>
        <w:t>Certification of Rodney K. B. Young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ectPr>
          <w:pgSz w:w="11900" w:h="16838" w:orient="portrait"/>
          <w:cols w:equalWidth="0" w:num="1">
            <w:col w:w="11340"/>
          </w:cols>
          <w:pgMar w:left="240" w:top="958" w:right="31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SECTION 302 OF THE SARBANES-OXLEY ACT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Martin McGlynn, certify that:</w:t>
      </w:r>
    </w:p>
    <w:p>
      <w:pPr>
        <w:spacing w:after="0" w:line="117" w:lineRule="exact"/>
        <w:rPr>
          <w:sz w:val="20"/>
          <w:szCs w:val="20"/>
          <w:color w:val="auto"/>
        </w:rPr>
      </w:pPr>
    </w:p>
    <w:p>
      <w:pPr>
        <w:ind w:left="660" w:hanging="43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StemCells,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ind w:left="660" w:right="160" w:hanging="436"/>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20" w:right="80" w:firstLine="1"/>
        <w:spacing w:after="0" w:line="264" w:lineRule="auto"/>
        <w:tabs>
          <w:tab w:leader="none" w:pos="1165" w:val="left"/>
        </w:tabs>
        <w:numPr>
          <w:ilvl w:val="1"/>
          <w:numId w:val="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460" w:firstLine="1"/>
        <w:spacing w:after="0" w:line="264" w:lineRule="auto"/>
        <w:tabs>
          <w:tab w:leader="none" w:pos="1175" w:val="left"/>
        </w:tabs>
        <w:numPr>
          <w:ilvl w:val="1"/>
          <w:numId w:val="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580" w:firstLine="1"/>
        <w:spacing w:after="0" w:line="342" w:lineRule="auto"/>
        <w:tabs>
          <w:tab w:leader="none" w:pos="1165" w:val="left"/>
        </w:tabs>
        <w:numPr>
          <w:ilvl w:val="1"/>
          <w:numId w:val="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60" w:firstLine="1"/>
        <w:spacing w:after="0" w:line="264" w:lineRule="auto"/>
        <w:tabs>
          <w:tab w:leader="none" w:pos="1175" w:val="left"/>
        </w:tabs>
        <w:numPr>
          <w:ilvl w:val="1"/>
          <w:numId w:val="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20" w:right="820" w:firstLine="1"/>
        <w:spacing w:after="0" w:line="342" w:lineRule="auto"/>
        <w:tabs>
          <w:tab w:leader="none" w:pos="1165" w:val="left"/>
        </w:tabs>
        <w:numPr>
          <w:ilvl w:val="1"/>
          <w:numId w:val="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20" w:right="500" w:firstLine="1"/>
        <w:spacing w:after="0" w:line="277" w:lineRule="auto"/>
        <w:tabs>
          <w:tab w:leader="none" w:pos="1175" w:val="left"/>
        </w:tabs>
        <w:numPr>
          <w:ilvl w:val="1"/>
          <w:numId w:val="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Martin McGlynn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5"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SECTION 302 OF THE SARBANES-OXLEY ACT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Rodney K. B. Young, certify that:</w:t>
      </w:r>
    </w:p>
    <w:p>
      <w:pPr>
        <w:spacing w:after="0" w:line="117"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StemCells,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ind w:left="660" w:right="160" w:hanging="436"/>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20" w:right="80" w:firstLine="1"/>
        <w:spacing w:after="0" w:line="264" w:lineRule="auto"/>
        <w:tabs>
          <w:tab w:leader="none" w:pos="1165"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460" w:firstLine="1"/>
        <w:spacing w:after="0" w:line="264" w:lineRule="auto"/>
        <w:tabs>
          <w:tab w:leader="none" w:pos="1175"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580" w:firstLine="1"/>
        <w:spacing w:after="0" w:line="342" w:lineRule="auto"/>
        <w:tabs>
          <w:tab w:leader="none" w:pos="1165" w:val="left"/>
        </w:tabs>
        <w:numPr>
          <w:ilvl w:val="1"/>
          <w:numId w:val="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60" w:firstLine="1"/>
        <w:spacing w:after="0" w:line="264" w:lineRule="auto"/>
        <w:tabs>
          <w:tab w:leader="none" w:pos="1175" w:val="left"/>
        </w:tabs>
        <w:numPr>
          <w:ilvl w:val="1"/>
          <w:numId w:val="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20" w:right="820" w:firstLine="1"/>
        <w:spacing w:after="0" w:line="342" w:lineRule="auto"/>
        <w:tabs>
          <w:tab w:leader="none" w:pos="1165" w:val="left"/>
        </w:tabs>
        <w:numPr>
          <w:ilvl w:val="1"/>
          <w:numId w:val="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20" w:right="500" w:firstLine="1"/>
        <w:spacing w:after="0" w:line="277" w:lineRule="auto"/>
        <w:tabs>
          <w:tab w:leader="none" w:pos="1175" w:val="left"/>
        </w:tabs>
        <w:numPr>
          <w:ilvl w:val="1"/>
          <w:numId w:val="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Rodney K. 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Rodney K. B. Young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lvl w:ilvl="1">
      <w:lvlJc w:val="left"/>
      <w:lvlText w:val="(%2)"/>
      <w:numFmt w:val="lowerLetter"/>
      <w:start w:val="1"/>
    </w:lvl>
  </w:abstractNum>
  <w:abstractNum w:abstractNumId="1">
    <w:nsid w:val="6633487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2019-12-13T21:51:52Z</dcterms:created>
  <dcterms:modified xsi:type="dcterms:W3CDTF">2019-12-13T21:51:52Z</dcterms:modified>
</cp:coreProperties>
</file>