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2,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Braintree, MA 02184</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506" w:lineRule="auto"/>
        <w:tabs>
          <w:tab w:leader="none" w:pos="45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40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20"/>
                <w:szCs w:val="20"/>
                <w:color w:val="auto"/>
              </w:rPr>
            </w:pPr>
          </w:p>
        </w:tc>
        <w:tc>
          <w:tcPr>
            <w:tcW w:w="3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Annual Meeting of Stockholders (the “Annual Meeting”) of Microbot Medical Inc. (the “Company”) was held on November 2, 2023. At the Annual Meeting, the Company’s stockholders voted on the following five proposals and cast their votes as described below. The proposals are described in more detail in the Company’s Definitive Proxy Statement on Schedule 14A filed with the U.S. Securities and Exchange Commission on September 19, 2023 (the “Proxy Statement”).</w:t>
      </w:r>
    </w:p>
    <w:p>
      <w:pPr>
        <w:spacing w:after="0" w:line="187" w:lineRule="exact"/>
        <w:rPr>
          <w:sz w:val="20"/>
          <w:szCs w:val="20"/>
          <w:color w:val="auto"/>
        </w:rPr>
      </w:pPr>
    </w:p>
    <w:p>
      <w:pPr>
        <w:jc w:val="both"/>
        <w:ind w:left="980" w:hanging="971"/>
        <w:spacing w:after="0" w:line="277" w:lineRule="auto"/>
        <w:tabs>
          <w:tab w:leader="none" w:pos="960" w:val="left"/>
        </w:tabs>
        <w:rPr>
          <w:sz w:val="20"/>
          <w:szCs w:val="20"/>
          <w:color w:val="auto"/>
        </w:rPr>
      </w:pPr>
      <w:r>
        <w:rPr>
          <w:rFonts w:ascii="Arial" w:cs="Arial" w:eastAsia="Arial" w:hAnsi="Arial"/>
          <w:sz w:val="18"/>
          <w:szCs w:val="18"/>
          <w:color w:val="auto"/>
        </w:rPr>
        <w:t>Proposal 1:</w:t>
        <w:tab/>
        <w:t>Election of the two nominees listed below to serve as Class II Directors on the Board of Directors of the Company until the 2026 Annual Meeting of Shareholders and until their respective successors have been duly elected and qualified:</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Number of Votes</w:t>
            </w:r>
          </w:p>
        </w:tc>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560" w:type="dxa"/>
            <w:vAlign w:val="bottom"/>
            <w:gridSpan w:val="2"/>
          </w:tcPr>
          <w:p>
            <w:pPr>
              <w:ind w:left="960"/>
              <w:spacing w:after="0"/>
              <w:rPr>
                <w:sz w:val="20"/>
                <w:szCs w:val="20"/>
                <w:color w:val="auto"/>
              </w:rPr>
            </w:pPr>
            <w:r>
              <w:rPr>
                <w:rFonts w:ascii="Arial" w:cs="Arial" w:eastAsia="Arial" w:hAnsi="Arial"/>
                <w:sz w:val="18"/>
                <w:szCs w:val="18"/>
                <w:color w:val="auto"/>
              </w:rPr>
              <w:t>Name</w:t>
            </w:r>
          </w:p>
        </w:tc>
        <w:tc>
          <w:tcPr>
            <w:tcW w:w="27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Cast in Favor</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rPr>
              <w:t>Number of Votes Withheld</w:t>
            </w:r>
          </w:p>
        </w:tc>
        <w:tc>
          <w:tcPr>
            <w:tcW w:w="2540" w:type="dxa"/>
            <w:vAlign w:val="bottom"/>
            <w:gridSpan w:val="2"/>
          </w:tcPr>
          <w:p>
            <w:pPr>
              <w:ind w:left="560"/>
              <w:spacing w:after="0"/>
              <w:rPr>
                <w:sz w:val="20"/>
                <w:szCs w:val="20"/>
                <w:color w:val="auto"/>
              </w:rPr>
            </w:pPr>
            <w:r>
              <w:rPr>
                <w:rFonts w:ascii="Arial" w:cs="Arial" w:eastAsia="Arial" w:hAnsi="Arial"/>
                <w:sz w:val="18"/>
                <w:szCs w:val="18"/>
                <w:color w:val="auto"/>
              </w:rPr>
              <w:t>Broker Non-Votes</w:t>
            </w:r>
          </w:p>
        </w:tc>
      </w:tr>
      <w:tr>
        <w:trPr>
          <w:trHeight w:val="216"/>
        </w:trPr>
        <w:tc>
          <w:tcPr>
            <w:tcW w:w="2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Scott Burell</w:t>
            </w:r>
          </w:p>
        </w:tc>
        <w:tc>
          <w:tcPr>
            <w:tcW w:w="2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3,151,413</w:t>
            </w:r>
          </w:p>
        </w:tc>
        <w:tc>
          <w:tcPr>
            <w:tcW w:w="3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656,060</w:t>
            </w:r>
          </w:p>
        </w:tc>
        <w:tc>
          <w:tcPr>
            <w:tcW w:w="32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2,629,648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2560" w:type="dxa"/>
            <w:vAlign w:val="bottom"/>
            <w:gridSpan w:val="2"/>
          </w:tcPr>
          <w:p>
            <w:pPr>
              <w:spacing w:after="0"/>
              <w:rPr>
                <w:sz w:val="20"/>
                <w:szCs w:val="20"/>
                <w:color w:val="auto"/>
              </w:rPr>
            </w:pPr>
            <w:r>
              <w:rPr>
                <w:rFonts w:ascii="Arial" w:cs="Arial" w:eastAsia="Arial" w:hAnsi="Arial"/>
                <w:sz w:val="18"/>
                <w:szCs w:val="18"/>
                <w:color w:val="auto"/>
              </w:rPr>
              <w:t>Aileen Stockburger</w:t>
            </w:r>
          </w:p>
        </w:tc>
        <w:tc>
          <w:tcPr>
            <w:tcW w:w="2460" w:type="dxa"/>
            <w:vAlign w:val="bottom"/>
          </w:tcPr>
          <w:p>
            <w:pPr>
              <w:jc w:val="right"/>
              <w:ind w:right="730"/>
              <w:spacing w:after="0"/>
              <w:rPr>
                <w:sz w:val="20"/>
                <w:szCs w:val="20"/>
                <w:color w:val="auto"/>
              </w:rPr>
            </w:pPr>
            <w:r>
              <w:rPr>
                <w:rFonts w:ascii="Arial" w:cs="Arial" w:eastAsia="Arial" w:hAnsi="Arial"/>
                <w:sz w:val="18"/>
                <w:szCs w:val="18"/>
                <w:color w:val="auto"/>
              </w:rPr>
              <w:t>3,287,071</w:t>
            </w:r>
          </w:p>
        </w:tc>
        <w:tc>
          <w:tcPr>
            <w:tcW w:w="320" w:type="dxa"/>
            <w:vAlign w:val="bottom"/>
          </w:tcPr>
          <w:p>
            <w:pPr>
              <w:spacing w:after="0"/>
              <w:rPr>
                <w:sz w:val="20"/>
                <w:szCs w:val="20"/>
                <w:color w:val="auto"/>
              </w:rPr>
            </w:pPr>
          </w:p>
        </w:tc>
        <w:tc>
          <w:tcPr>
            <w:tcW w:w="2460" w:type="dxa"/>
            <w:vAlign w:val="bottom"/>
          </w:tcPr>
          <w:p>
            <w:pPr>
              <w:jc w:val="right"/>
              <w:ind w:right="790"/>
              <w:spacing w:after="0"/>
              <w:rPr>
                <w:sz w:val="20"/>
                <w:szCs w:val="20"/>
                <w:color w:val="auto"/>
              </w:rPr>
            </w:pPr>
            <w:r>
              <w:rPr>
                <w:rFonts w:ascii="Arial" w:cs="Arial" w:eastAsia="Arial" w:hAnsi="Arial"/>
                <w:sz w:val="18"/>
                <w:szCs w:val="18"/>
                <w:color w:val="auto"/>
              </w:rPr>
              <w:t>520,402</w:t>
            </w:r>
          </w:p>
        </w:tc>
        <w:tc>
          <w:tcPr>
            <w:tcW w:w="320" w:type="dxa"/>
            <w:vAlign w:val="bottom"/>
          </w:tcPr>
          <w:p>
            <w:pPr>
              <w:spacing w:after="0"/>
              <w:rPr>
                <w:sz w:val="20"/>
                <w:szCs w:val="20"/>
                <w:color w:val="auto"/>
              </w:rPr>
            </w:pPr>
          </w:p>
        </w:tc>
        <w:tc>
          <w:tcPr>
            <w:tcW w:w="2440" w:type="dxa"/>
            <w:vAlign w:val="bottom"/>
          </w:tcPr>
          <w:p>
            <w:pPr>
              <w:jc w:val="right"/>
              <w:ind w:right="710"/>
              <w:spacing w:after="0"/>
              <w:rPr>
                <w:sz w:val="20"/>
                <w:szCs w:val="20"/>
                <w:color w:val="auto"/>
              </w:rPr>
            </w:pPr>
            <w:r>
              <w:rPr>
                <w:rFonts w:ascii="Arial" w:cs="Arial" w:eastAsia="Arial" w:hAnsi="Arial"/>
                <w:sz w:val="18"/>
                <w:szCs w:val="18"/>
                <w:color w:val="auto"/>
              </w:rPr>
              <w:t>2,629,648</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980" w:hanging="971"/>
        <w:spacing w:after="0" w:line="277" w:lineRule="auto"/>
        <w:tabs>
          <w:tab w:leader="none" w:pos="960" w:val="left"/>
        </w:tabs>
        <w:rPr>
          <w:sz w:val="20"/>
          <w:szCs w:val="20"/>
          <w:color w:val="auto"/>
        </w:rPr>
      </w:pPr>
      <w:r>
        <w:rPr>
          <w:rFonts w:ascii="Arial" w:cs="Arial" w:eastAsia="Arial" w:hAnsi="Arial"/>
          <w:sz w:val="18"/>
          <w:szCs w:val="18"/>
          <w:color w:val="auto"/>
        </w:rPr>
        <w:t>Proposal 2:</w:t>
        <w:tab/>
        <w:t>The approval of an amendment to the Company’s 2020 Omnibus Performance Award Plan, to increase the number of authorized shares of common stock reserved for issuance by 600,000, from 1,420,652 to 2,020,652:</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56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Number of Votes</w:t>
            </w:r>
          </w:p>
        </w:tc>
        <w:tc>
          <w:tcPr>
            <w:tcW w:w="280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Number of Votes</w:t>
            </w: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5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Cast in Favor</w:t>
            </w:r>
          </w:p>
        </w:tc>
        <w:tc>
          <w:tcPr>
            <w:tcW w:w="28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Cast Against</w:t>
            </w:r>
          </w:p>
        </w:tc>
        <w:tc>
          <w:tcPr>
            <w:tcW w:w="2780" w:type="dxa"/>
            <w:vAlign w:val="bottom"/>
            <w:gridSpan w:val="2"/>
          </w:tcPr>
          <w:p>
            <w:pPr>
              <w:ind w:left="220"/>
              <w:spacing w:after="0"/>
              <w:rPr>
                <w:sz w:val="20"/>
                <w:szCs w:val="20"/>
                <w:color w:val="auto"/>
              </w:rPr>
            </w:pPr>
            <w:r>
              <w:rPr>
                <w:rFonts w:ascii="Arial" w:cs="Arial" w:eastAsia="Arial" w:hAnsi="Arial"/>
                <w:sz w:val="18"/>
                <w:szCs w:val="18"/>
                <w:color w:val="auto"/>
              </w:rPr>
              <w:t>Number of Votes Abstained</w:t>
            </w:r>
          </w:p>
        </w:tc>
        <w:tc>
          <w:tcPr>
            <w:tcW w:w="2520" w:type="dxa"/>
            <w:vAlign w:val="bottom"/>
            <w:gridSpan w:val="2"/>
          </w:tcPr>
          <w:p>
            <w:pPr>
              <w:ind w:left="560"/>
              <w:spacing w:after="0"/>
              <w:rPr>
                <w:sz w:val="20"/>
                <w:szCs w:val="20"/>
                <w:color w:val="auto"/>
              </w:rPr>
            </w:pPr>
            <w:r>
              <w:rPr>
                <w:rFonts w:ascii="Arial" w:cs="Arial" w:eastAsia="Arial" w:hAnsi="Arial"/>
                <w:sz w:val="18"/>
                <w:szCs w:val="18"/>
                <w:color w:val="auto"/>
              </w:rPr>
              <w:t>Broker Non-Votes</w:t>
            </w:r>
          </w:p>
        </w:tc>
      </w:tr>
      <w:tr>
        <w:trPr>
          <w:trHeight w:val="216"/>
        </w:trPr>
        <w:tc>
          <w:tcPr>
            <w:tcW w:w="224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2,193,713</w:t>
            </w:r>
          </w:p>
        </w:tc>
        <w:tc>
          <w:tcPr>
            <w:tcW w:w="3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1,563,087</w:t>
            </w:r>
          </w:p>
        </w:tc>
        <w:tc>
          <w:tcPr>
            <w:tcW w:w="34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50,673</w:t>
            </w:r>
          </w:p>
        </w:tc>
        <w:tc>
          <w:tcPr>
            <w:tcW w:w="34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2,629,648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Proposal 3:</w:t>
      </w:r>
      <w:r>
        <w:rPr>
          <w:sz w:val="20"/>
          <w:szCs w:val="20"/>
          <w:color w:val="auto"/>
        </w:rPr>
        <w:tab/>
      </w:r>
      <w:r>
        <w:rPr>
          <w:rFonts w:ascii="Arial" w:cs="Arial" w:eastAsia="Arial" w:hAnsi="Arial"/>
          <w:sz w:val="16"/>
          <w:szCs w:val="16"/>
          <w:color w:val="auto"/>
        </w:rPr>
        <w:t>The approval of a non-binding advisory resolution supporting the compensation of the Company’s named executive officers: </w:t>
      </w:r>
    </w:p>
    <w:p>
      <w:pPr>
        <w:spacing w:after="0" w:line="225"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56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Number of Votes</w:t>
            </w:r>
          </w:p>
        </w:tc>
        <w:tc>
          <w:tcPr>
            <w:tcW w:w="280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Number of Votes</w:t>
            </w: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5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Cast in Favor</w:t>
            </w:r>
          </w:p>
        </w:tc>
        <w:tc>
          <w:tcPr>
            <w:tcW w:w="28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Cast Against</w:t>
            </w:r>
          </w:p>
        </w:tc>
        <w:tc>
          <w:tcPr>
            <w:tcW w:w="2780" w:type="dxa"/>
            <w:vAlign w:val="bottom"/>
            <w:gridSpan w:val="2"/>
          </w:tcPr>
          <w:p>
            <w:pPr>
              <w:ind w:left="220"/>
              <w:spacing w:after="0"/>
              <w:rPr>
                <w:sz w:val="20"/>
                <w:szCs w:val="20"/>
                <w:color w:val="auto"/>
              </w:rPr>
            </w:pPr>
            <w:r>
              <w:rPr>
                <w:rFonts w:ascii="Arial" w:cs="Arial" w:eastAsia="Arial" w:hAnsi="Arial"/>
                <w:sz w:val="18"/>
                <w:szCs w:val="18"/>
                <w:color w:val="auto"/>
              </w:rPr>
              <w:t>Number of Votes Abstained</w:t>
            </w:r>
          </w:p>
        </w:tc>
        <w:tc>
          <w:tcPr>
            <w:tcW w:w="2520" w:type="dxa"/>
            <w:vAlign w:val="bottom"/>
            <w:gridSpan w:val="2"/>
          </w:tcPr>
          <w:p>
            <w:pPr>
              <w:ind w:left="560"/>
              <w:spacing w:after="0"/>
              <w:rPr>
                <w:sz w:val="20"/>
                <w:szCs w:val="20"/>
                <w:color w:val="auto"/>
              </w:rPr>
            </w:pPr>
            <w:r>
              <w:rPr>
                <w:rFonts w:ascii="Arial" w:cs="Arial" w:eastAsia="Arial" w:hAnsi="Arial"/>
                <w:sz w:val="18"/>
                <w:szCs w:val="18"/>
                <w:color w:val="auto"/>
              </w:rPr>
              <w:t>Broker Non-Votes</w:t>
            </w:r>
          </w:p>
        </w:tc>
      </w:tr>
      <w:tr>
        <w:trPr>
          <w:trHeight w:val="216"/>
        </w:trPr>
        <w:tc>
          <w:tcPr>
            <w:tcW w:w="224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2,197,751</w:t>
            </w:r>
          </w:p>
        </w:tc>
        <w:tc>
          <w:tcPr>
            <w:tcW w:w="3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1,547,396</w:t>
            </w:r>
          </w:p>
        </w:tc>
        <w:tc>
          <w:tcPr>
            <w:tcW w:w="34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62,326</w:t>
            </w:r>
          </w:p>
        </w:tc>
        <w:tc>
          <w:tcPr>
            <w:tcW w:w="34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2,629,648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980" w:hanging="971"/>
        <w:spacing w:after="0" w:line="277" w:lineRule="auto"/>
        <w:tabs>
          <w:tab w:leader="none" w:pos="960" w:val="left"/>
        </w:tabs>
        <w:rPr>
          <w:sz w:val="20"/>
          <w:szCs w:val="20"/>
          <w:color w:val="auto"/>
        </w:rPr>
      </w:pPr>
      <w:r>
        <w:rPr>
          <w:rFonts w:ascii="Arial" w:cs="Arial" w:eastAsia="Arial" w:hAnsi="Arial"/>
          <w:sz w:val="18"/>
          <w:szCs w:val="18"/>
          <w:color w:val="auto"/>
        </w:rPr>
        <w:t>Proposal 4:</w:t>
        <w:tab/>
        <w:t>The approval of a non-binding advisory resolution regarding the frequency of future non-binding advisory votes related to named executive officer compensation:</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Number of Votes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140" w:type="dxa"/>
            <w:vAlign w:val="bottom"/>
            <w:gridSpan w:val="2"/>
          </w:tcPr>
          <w:p>
            <w:pPr>
              <w:ind w:left="560"/>
              <w:spacing w:after="0"/>
              <w:rPr>
                <w:sz w:val="20"/>
                <w:szCs w:val="20"/>
                <w:color w:val="auto"/>
              </w:rPr>
            </w:pPr>
            <w:r>
              <w:rPr>
                <w:rFonts w:ascii="Arial" w:cs="Arial" w:eastAsia="Arial" w:hAnsi="Arial"/>
                <w:sz w:val="18"/>
                <w:szCs w:val="18"/>
                <w:color w:val="auto"/>
              </w:rPr>
              <w:t>One Year</w:t>
            </w:r>
          </w:p>
        </w:tc>
        <w:tc>
          <w:tcPr>
            <w:tcW w:w="2140" w:type="dxa"/>
            <w:vAlign w:val="bottom"/>
            <w:gridSpan w:val="2"/>
          </w:tcPr>
          <w:p>
            <w:pPr>
              <w:ind w:left="520"/>
              <w:spacing w:after="0"/>
              <w:rPr>
                <w:sz w:val="20"/>
                <w:szCs w:val="20"/>
                <w:color w:val="auto"/>
              </w:rPr>
            </w:pPr>
            <w:r>
              <w:rPr>
                <w:rFonts w:ascii="Arial" w:cs="Arial" w:eastAsia="Arial" w:hAnsi="Arial"/>
                <w:sz w:val="18"/>
                <w:szCs w:val="18"/>
                <w:color w:val="auto"/>
              </w:rPr>
              <w:t>Two Years</w:t>
            </w:r>
          </w:p>
        </w:tc>
        <w:tc>
          <w:tcPr>
            <w:tcW w:w="2160" w:type="dxa"/>
            <w:vAlign w:val="bottom"/>
            <w:gridSpan w:val="2"/>
          </w:tcPr>
          <w:p>
            <w:pPr>
              <w:ind w:left="480"/>
              <w:spacing w:after="0"/>
              <w:rPr>
                <w:sz w:val="20"/>
                <w:szCs w:val="20"/>
                <w:color w:val="auto"/>
              </w:rPr>
            </w:pPr>
            <w:r>
              <w:rPr>
                <w:rFonts w:ascii="Arial" w:cs="Arial" w:eastAsia="Arial" w:hAnsi="Arial"/>
                <w:sz w:val="18"/>
                <w:szCs w:val="18"/>
                <w:color w:val="auto"/>
              </w:rPr>
              <w:t>Three Years</w:t>
            </w:r>
          </w:p>
        </w:tc>
        <w:tc>
          <w:tcPr>
            <w:tcW w:w="22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Abstained</w:t>
            </w:r>
          </w:p>
        </w:tc>
        <w:tc>
          <w:tcPr>
            <w:tcW w:w="2000" w:type="dxa"/>
            <w:vAlign w:val="bottom"/>
            <w:gridSpan w:val="2"/>
          </w:tcPr>
          <w:p>
            <w:pPr>
              <w:ind w:left="300"/>
              <w:spacing w:after="0"/>
              <w:rPr>
                <w:sz w:val="20"/>
                <w:szCs w:val="20"/>
                <w:color w:val="auto"/>
              </w:rPr>
            </w:pPr>
            <w:r>
              <w:rPr>
                <w:rFonts w:ascii="Arial" w:cs="Arial" w:eastAsia="Arial" w:hAnsi="Arial"/>
                <w:sz w:val="18"/>
                <w:szCs w:val="18"/>
                <w:color w:val="auto"/>
              </w:rPr>
              <w:t>Broker Non-Votes</w:t>
            </w:r>
          </w:p>
        </w:tc>
      </w:tr>
      <w:tr>
        <w:trPr>
          <w:trHeight w:val="216"/>
        </w:trPr>
        <w:tc>
          <w:tcPr>
            <w:tcW w:w="182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2,201,561</w:t>
            </w:r>
          </w:p>
        </w:tc>
        <w:tc>
          <w:tcPr>
            <w:tcW w:w="3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86,486</w:t>
            </w:r>
          </w:p>
        </w:tc>
        <w:tc>
          <w:tcPr>
            <w:tcW w:w="3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1,383,749</w:t>
            </w:r>
          </w:p>
        </w:tc>
        <w:tc>
          <w:tcPr>
            <w:tcW w:w="34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135,677</w:t>
            </w:r>
          </w:p>
        </w:tc>
        <w:tc>
          <w:tcPr>
            <w:tcW w:w="3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2,629,648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Proposal 5:</w:t>
      </w:r>
      <w:r>
        <w:rPr>
          <w:sz w:val="20"/>
          <w:szCs w:val="20"/>
          <w:color w:val="auto"/>
        </w:rPr>
        <w:tab/>
      </w:r>
      <w:r>
        <w:rPr>
          <w:rFonts w:ascii="Arial" w:cs="Arial" w:eastAsia="Arial" w:hAnsi="Arial"/>
          <w:sz w:val="18"/>
          <w:szCs w:val="18"/>
          <w:color w:val="auto"/>
        </w:rPr>
        <w:t>The ratification of Brightman Almagor Zohar &amp; Co., a Member of Deloitte Touche Tohmatsu Limited, or its U.S. affiliate, as the</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Company’s independent registered public accounting firm for the year ending December 31, 2023: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25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Number of Votes</w:t>
            </w:r>
          </w:p>
        </w:tc>
        <w:tc>
          <w:tcPr>
            <w:tcW w:w="28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Number of Votes</w:t>
            </w:r>
          </w:p>
        </w:tc>
        <w:tc>
          <w:tcPr>
            <w:tcW w:w="2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7"/>
        </w:trPr>
        <w:tc>
          <w:tcPr>
            <w:tcW w:w="300" w:type="dxa"/>
            <w:vAlign w:val="bottom"/>
          </w:tcPr>
          <w:p>
            <w:pPr>
              <w:spacing w:after="0"/>
              <w:rPr>
                <w:sz w:val="20"/>
                <w:szCs w:val="20"/>
                <w:color w:val="auto"/>
              </w:rPr>
            </w:pPr>
          </w:p>
        </w:tc>
        <w:tc>
          <w:tcPr>
            <w:tcW w:w="25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Cast in Favor</w:t>
            </w:r>
          </w:p>
        </w:tc>
        <w:tc>
          <w:tcPr>
            <w:tcW w:w="28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Cast Against</w:t>
            </w:r>
          </w:p>
        </w:tc>
        <w:tc>
          <w:tcPr>
            <w:tcW w:w="2780" w:type="dxa"/>
            <w:vAlign w:val="bottom"/>
            <w:gridSpan w:val="2"/>
          </w:tcPr>
          <w:p>
            <w:pPr>
              <w:ind w:left="220"/>
              <w:spacing w:after="0"/>
              <w:rPr>
                <w:sz w:val="20"/>
                <w:szCs w:val="20"/>
                <w:color w:val="auto"/>
              </w:rPr>
            </w:pPr>
            <w:r>
              <w:rPr>
                <w:rFonts w:ascii="Arial" w:cs="Arial" w:eastAsia="Arial" w:hAnsi="Arial"/>
                <w:sz w:val="18"/>
                <w:szCs w:val="18"/>
                <w:color w:val="auto"/>
              </w:rPr>
              <w:t>Number of Votes Abstained</w:t>
            </w:r>
          </w:p>
        </w:tc>
        <w:tc>
          <w:tcPr>
            <w:tcW w:w="2520" w:type="dxa"/>
            <w:vAlign w:val="bottom"/>
            <w:gridSpan w:val="2"/>
          </w:tcPr>
          <w:p>
            <w:pPr>
              <w:ind w:left="560"/>
              <w:spacing w:after="0"/>
              <w:rPr>
                <w:sz w:val="20"/>
                <w:szCs w:val="20"/>
                <w:color w:val="auto"/>
              </w:rPr>
            </w:pPr>
            <w:r>
              <w:rPr>
                <w:rFonts w:ascii="Arial" w:cs="Arial" w:eastAsia="Arial" w:hAnsi="Arial"/>
                <w:sz w:val="18"/>
                <w:szCs w:val="18"/>
                <w:color w:val="auto"/>
              </w:rPr>
              <w:t>Broker Non-Votes</w:t>
            </w:r>
          </w:p>
        </w:tc>
        <w:tc>
          <w:tcPr>
            <w:tcW w:w="280" w:type="dxa"/>
            <w:vAlign w:val="bottom"/>
          </w:tcPr>
          <w:p>
            <w:pPr>
              <w:spacing w:after="0"/>
              <w:rPr>
                <w:sz w:val="20"/>
                <w:szCs w:val="20"/>
                <w:color w:val="auto"/>
              </w:rPr>
            </w:pPr>
          </w:p>
        </w:tc>
      </w:tr>
      <w:tr>
        <w:trPr>
          <w:trHeight w:val="216"/>
        </w:trPr>
        <w:tc>
          <w:tcPr>
            <w:tcW w:w="300" w:type="dxa"/>
            <w:vAlign w:val="bottom"/>
          </w:tcPr>
          <w:p>
            <w:pPr>
              <w:spacing w:after="0"/>
              <w:rPr>
                <w:sz w:val="18"/>
                <w:szCs w:val="18"/>
                <w:color w:val="auto"/>
              </w:rPr>
            </w:pPr>
          </w:p>
        </w:tc>
        <w:tc>
          <w:tcPr>
            <w:tcW w:w="224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6,100,498</w:t>
            </w:r>
          </w:p>
        </w:tc>
        <w:tc>
          <w:tcPr>
            <w:tcW w:w="3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74,658</w:t>
            </w:r>
          </w:p>
        </w:tc>
        <w:tc>
          <w:tcPr>
            <w:tcW w:w="34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261,965</w:t>
            </w:r>
          </w:p>
        </w:tc>
        <w:tc>
          <w:tcPr>
            <w:tcW w:w="34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Pr>
          <w:p>
            <w:pPr>
              <w:spacing w:after="0"/>
              <w:rPr>
                <w:sz w:val="18"/>
                <w:szCs w:val="18"/>
                <w:color w:val="auto"/>
              </w:rPr>
            </w:pPr>
          </w:p>
        </w:tc>
      </w:tr>
      <w:tr>
        <w:trPr>
          <w:trHeight w:val="439"/>
        </w:trPr>
        <w:tc>
          <w:tcPr>
            <w:tcW w:w="3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 w:name="page3"/>
    <w:bookmarkEnd w:id="2"/>
    <w:p>
      <w:pPr>
        <w:jc w:val="both"/>
        <w:spacing w:after="0" w:line="259" w:lineRule="auto"/>
        <w:rPr>
          <w:sz w:val="20"/>
          <w:szCs w:val="20"/>
          <w:color w:val="auto"/>
        </w:rPr>
      </w:pPr>
      <w:r>
        <w:rPr>
          <w:rFonts w:ascii="Arial" w:cs="Arial" w:eastAsia="Arial" w:hAnsi="Arial"/>
          <w:sz w:val="18"/>
          <w:szCs w:val="18"/>
          <w:color w:val="auto"/>
        </w:rPr>
        <w:t>At the Annual Meeting, the Company’s stockholders held an advisory vote to approve the preferred frequency of stockholder advisory votes on the compensation of the Company’s named executive officers (say-on-pay). As reported above, the stockholders representing a majority of the votes cast approved, on a non-binding, advisory basis, a one-year frequency for future say-on-pay advisory votes. Accordingly, the Company’s board of directors determined that the Company will hold a say-on-pay advisory vote every one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Exhibit</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2023-11-06T15:12:39Z</dcterms:created>
  <dcterms:modified xsi:type="dcterms:W3CDTF">2023-11-06T15:12:39Z</dcterms:modified>
</cp:coreProperties>
</file>