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5020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February 5,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5"/>
      <w:bookmarkEnd w:id="4"/>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50205"/>
            <w:bookmarkEnd w:id="6"/>
            <w:r>
              <w:rPr>
                <w:rFonts w:ascii="Times New Roman;Times;Serif" w:hAnsi="Times New Roman;Times;Serif"/>
                <w:b/>
                <w:i w:val="false"/>
                <w:caps w:val="false"/>
                <w:smallCaps w:val="false"/>
                <w:sz w:val="20"/>
              </w:rPr>
              <w:t>000-19871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94-3078125</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288 Grove Street, </w:t>
      </w:r>
      <w:bookmarkStart w:id="9" w:name="xdx_90D_edei--EntityAddressAddressLine2_"/>
      <w:bookmarkEnd w:id="9"/>
      <w:r>
        <w:rPr>
          <w:rFonts w:ascii="Times New Roman;Times;Serif" w:hAnsi="Times New Roman;Times;Serif"/>
          <w:b/>
          <w:i w:val="false"/>
          <w:caps w:val="false"/>
          <w:smallCaps w:val="false"/>
          <w:sz w:val="20"/>
        </w:rPr>
        <w:t>Suite 388</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Braintree, </w:t>
      </w:r>
      <w:bookmarkStart w:id="11" w:name="xdx_901_edei--EntityAddressStateOrProvin"/>
      <w:bookmarkEnd w:id="11"/>
      <w:r>
        <w:rPr>
          <w:rFonts w:ascii="Times New Roman;Times;Serif" w:hAnsi="Times New Roman;Times;Serif"/>
          <w:b/>
          <w:i w:val="false"/>
          <w:caps w:val="false"/>
          <w:smallCaps w:val="false"/>
          <w:sz w:val="20"/>
        </w:rPr>
        <w:t xml:space="preserve">MA </w:t>
      </w:r>
      <w:bookmarkStart w:id="12" w:name="xdx_900_edei--EntityAddressPostalZipCode"/>
      <w:bookmarkEnd w:id="12"/>
      <w:r>
        <w:rPr>
          <w:rFonts w:ascii="Times New Roman;Times;Serif" w:hAnsi="Times New Roman;Times;Serif"/>
          <w:b/>
          <w:i w:val="false"/>
          <w:caps w:val="false"/>
          <w:smallCaps w:val="false"/>
          <w:sz w:val="20"/>
        </w:rPr>
        <w:t>02184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D_edei--CityAreaCode_c20250205__20"/>
      <w:bookmarkEnd w:id="13"/>
      <w:r>
        <w:rPr>
          <w:rFonts w:ascii="Times New Roman;Times;Serif" w:hAnsi="Times New Roman;Times;Serif"/>
          <w:b/>
          <w:i w:val="false"/>
          <w:caps w:val="false"/>
          <w:smallCaps w:val="false"/>
          <w:sz w:val="20"/>
        </w:rPr>
        <w:t xml:space="preserve">(781) </w:t>
      </w:r>
      <w:bookmarkStart w:id="14" w:name="xdx_906_edei--LocalPhoneNumber_c20250205"/>
      <w:bookmarkEnd w:id="14"/>
      <w:r>
        <w:rPr>
          <w:rFonts w:ascii="Times New Roman;Times;Serif" w:hAnsi="Times New Roman;Times;Serif"/>
          <w:b/>
          <w:i w:val="false"/>
          <w:caps w:val="false"/>
          <w:smallCaps w:val="false"/>
          <w:sz w:val="20"/>
        </w:rPr>
        <w:t>875-3605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5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B_edei--SolicitingMaterial_c202502"/>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2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2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Security12bTitle_c20250205"/>
            <w:bookmarkEnd w:id="19"/>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50205__2"/>
            <w:bookmarkEnd w:id="20"/>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0_edei--SecurityExchangeName_c2025"/>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5.02 below is incorporated herein by reference into this Item 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Principal Officers; Election of Directors; Appointment of Principal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2025, Microbot Medical Inc. (the “Company”) increased: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base salary of Simon Sharon, the Company’s Chief Technology Officer and the General Manager of the Company’s Israel facilities, to NIS 960,000, </w:t>
            </w:r>
            <w:r>
              <w:rPr>
                <w:rFonts w:ascii="Times New Roman;Times;Serif" w:hAnsi="Times New Roman;Times;Serif"/>
                <w:b w:val="false"/>
                <w:i w:val="false"/>
                <w:caps w:val="false"/>
                <w:smallCaps w:val="false"/>
                <w:sz w:val="20"/>
                <w:shd w:fill="FFFFFF" w:val="clear"/>
              </w:rPr>
              <w:t>commencing for the 2025 fiscal year</w:t>
            </w:r>
            <w:r>
              <w:rPr>
                <w:rFonts w:ascii="Times New Roman;Times;Serif" w:hAnsi="Times New Roman;Times;Serif"/>
                <w:b w:val="false"/>
                <w:i w:val="false"/>
                <w:caps w:val="false"/>
                <w:smallCaps w:val="false"/>
                <w:sz w:val="20"/>
              </w:rPr>
              <w:t>. Such increase is memorialized in an Addendum #2 to Employment Agreement, dated as of February 5, 2025 (the “Sharon Agreement”).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base salary of Rachel Vaknin, the Company’s Chief Financial Officer, to NIS 720,000, and certain travel benefits from NIS 1,000 per month to NIS 5,000 per month, </w:t>
            </w:r>
            <w:r>
              <w:rPr>
                <w:rFonts w:ascii="Times New Roman;Times;Serif" w:hAnsi="Times New Roman;Times;Serif"/>
                <w:b w:val="false"/>
                <w:i w:val="false"/>
                <w:caps w:val="false"/>
                <w:smallCaps w:val="false"/>
                <w:sz w:val="20"/>
                <w:shd w:fill="FFFFFF" w:val="clear"/>
              </w:rPr>
              <w:t>commencing for the 2025 fiscal year</w:t>
            </w:r>
            <w:r>
              <w:rPr>
                <w:rFonts w:ascii="Times New Roman;Times;Serif" w:hAnsi="Times New Roman;Times;Serif"/>
                <w:b w:val="false"/>
                <w:i w:val="false"/>
                <w:caps w:val="false"/>
                <w:smallCaps w:val="false"/>
                <w:sz w:val="20"/>
              </w:rPr>
              <w:t>. Such increases are memorialized in an Addendum #2 to Employment Agreement, dated as of February 5, 2025 (the “Vaknin Agreement”).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maximum annual bonus of Juan Diaz-Cartelle, its Chief Medical Officer, from a maximum of up to 30% of base salary to a maximum of up to 35% of base salary, commencing for the 2025 fiscal year. Such increase is memorialized in an Amendment to Employment Agreement, dated as of February 5, 2025 (the “Diaz-Cartelle Agreement”).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Sharon Agreement, Vaknin Agreement and </w:t>
      </w:r>
      <w:r>
        <w:rPr>
          <w:rFonts w:ascii="Times New Roman;Times;Serif" w:hAnsi="Times New Roman;Times;Serif"/>
          <w:b w:val="false"/>
          <w:i w:val="false"/>
          <w:caps w:val="false"/>
          <w:smallCaps w:val="false"/>
          <w:sz w:val="20"/>
          <w:shd w:fill="FFFFFF" w:val="clear"/>
        </w:rPr>
        <w:t>Diaz-Cartelle Agreement</w:t>
      </w:r>
      <w:r>
        <w:rPr>
          <w:rFonts w:ascii="Times New Roman;Times;Serif" w:hAnsi="Times New Roman;Times;Serif"/>
          <w:b w:val="false"/>
          <w:i w:val="false"/>
          <w:caps w:val="false"/>
          <w:smallCaps w:val="false"/>
          <w:sz w:val="20"/>
        </w:rPr>
        <w:t xml:space="preserve"> are attached as Exhibits 10.1, 10.2 and 10.3, respectively, to this Current Report on Form 8-K. The description of the terms of the Sharon Agreement, Vaknin Agreement and </w:t>
      </w:r>
      <w:r>
        <w:rPr>
          <w:rFonts w:ascii="Times New Roman;Times;Serif" w:hAnsi="Times New Roman;Times;Serif"/>
          <w:b w:val="false"/>
          <w:i w:val="false"/>
          <w:caps w:val="false"/>
          <w:smallCaps w:val="false"/>
          <w:sz w:val="20"/>
          <w:shd w:fill="FFFFFF" w:val="clear"/>
        </w:rPr>
        <w:t>Diaz-Cartelle Agreement</w:t>
      </w:r>
      <w:r>
        <w:rPr>
          <w:rFonts w:ascii="Times New Roman;Times;Serif" w:hAnsi="Times New Roman;Times;Serif"/>
          <w:b w:val="false"/>
          <w:i w:val="false"/>
          <w:caps w:val="false"/>
          <w:smallCaps w:val="false"/>
          <w:sz w:val="20"/>
        </w:rPr>
        <w:t xml:space="preserve"> are not intended to be complete and are qualified in their entirety by reference to such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tbl>
      <w:tblPr>
        <w:tblW w:w="8425" w:type="dxa"/>
        <w:jc w:val="left"/>
        <w:tblInd w:w="0" w:type="dxa"/>
        <w:tblLayout w:type="fixed"/>
        <w:tblCellMar>
          <w:top w:w="0" w:type="dxa"/>
          <w:left w:w="0" w:type="dxa"/>
          <w:bottom w:w="28" w:type="dxa"/>
          <w:right w:w="0" w:type="dxa"/>
        </w:tblCellMar>
      </w:tblPr>
      <w:tblGrid>
        <w:gridCol w:w="725"/>
        <w:gridCol w:w="60"/>
        <w:gridCol w:w="764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4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40"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Addendum #2 to Employment Agreement, dated as of February 5, 2025, with Simon Sharon</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40"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Addendum #2 to Employment Agreement, dated as of February 5, 2025, with Rachel Vaknin</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40" w:type="dxa"/>
            <w:tcBorders/>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Amendment to Employment Agreement, dated as of February 5, 2025, with Juan Diaz-Cartelle</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7,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rPr>
      </w:pPr>
      <w:bookmarkStart w:id="23" w:name="ex10-1.htm"/>
      <w:bookmarkStart w:id="24" w:name="ksex101"/>
      <w:bookmarkEnd w:id="23"/>
      <w:bookmarkEnd w:id="2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450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2875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876300"/>
                    </a:xfrm>
                    <a:prstGeom prst="rect">
                      <a:avLst/>
                    </a:prstGeom>
                  </pic:spPr>
                </pic:pic>
              </a:graphicData>
            </a:graphic>
          </wp:inline>
        </w:drawing>
      </w:r>
    </w:p>
    <w:p>
      <w:pPr>
        <w:pStyle w:val="TextBody"/>
        <w:bidi w:val="0"/>
        <w:spacing w:before="0" w:after="0"/>
        <w:ind w:left="450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ADDENDUM #2 TO EMPLOYMENT AGREEMENT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made and entered into as of February 5,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between</w:t>
      </w:r>
    </w:p>
    <w:p>
      <w:pPr>
        <w:pStyle w:val="TextBody"/>
        <w:bidi w:val="0"/>
        <w:spacing w:before="0" w:after="0"/>
        <w:ind w:left="3600" w:right="0" w:hanging="1152"/>
        <w:jc w:val="center"/>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3410"/>
        <w:gridCol w:w="60"/>
        <w:gridCol w:w="1475"/>
      </w:tblGrid>
      <w:tr>
        <w:trPr/>
        <w:tc>
          <w:tcPr>
            <w:tcW w:w="34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514519412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6 Hayozma Street, Yokneam Illit, Israel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 the first part</w:t>
            </w:r>
          </w:p>
        </w:tc>
      </w:tr>
      <w:tr>
        <w:trPr/>
        <w:tc>
          <w:tcPr>
            <w:tcW w:w="3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Sharon</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475" w:type="dxa"/>
            <w:tcBorders/>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Israeli I.D no.27037753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475" w:type="dxa"/>
            <w:tcBorders/>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Israel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 the second part</w:t>
            </w:r>
          </w:p>
        </w:tc>
      </w:tr>
    </w:tbl>
    <w:p>
      <w:pPr>
        <w:pStyle w:val="TextBody"/>
        <w:bidi w:val="0"/>
        <w:spacing w:before="0" w:after="0"/>
        <w:ind w:left="2340" w:right="0" w:hanging="12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Employee is employed by the Company in accordance with that certain employment agreement dated on March 31, 2018, as amended and any addendum thereto (the “</w:t>
      </w:r>
      <w:r>
        <w:rPr>
          <w:rFonts w:ascii="Times New Roman;Times;Serif" w:hAnsi="Times New Roman;Times;Serif"/>
          <w:b/>
          <w:i w:val="false"/>
          <w:caps w:val="false"/>
          <w:smallCaps w:val="false"/>
          <w:sz w:val="20"/>
        </w:rPr>
        <w:t>Employment Agreement”);</w:t>
      </w:r>
    </w:p>
    <w:p>
      <w:pPr>
        <w:pStyle w:val="TextBody"/>
        <w:bidi w:val="0"/>
        <w:spacing w:before="0" w:after="0"/>
        <w:ind w:left="2340" w:right="0" w:hanging="12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Company and the Employee have agreed to amend certain term of the Employee’s Employment Agreement effective as of the date hereof (the “</w:t>
      </w:r>
      <w:r>
        <w:rPr>
          <w:rFonts w:ascii="Times New Roman;Times;Serif" w:hAnsi="Times New Roman;Times;Serif"/>
          <w:b/>
          <w:i w:val="false"/>
          <w:caps w:val="false"/>
          <w:smallCaps w:val="false"/>
          <w:sz w:val="20"/>
        </w:rPr>
        <w:t xml:space="preserve">Amendment Date”), </w:t>
      </w:r>
      <w:r>
        <w:rPr>
          <w:rFonts w:ascii="Times New Roman;Times;Serif" w:hAnsi="Times New Roman;Times;Serif"/>
          <w:b w:val="false"/>
          <w:i w:val="false"/>
          <w:caps w:val="false"/>
          <w:smallCaps w:val="false"/>
          <w:sz w:val="20"/>
        </w:rPr>
        <w:t>and wish to set forth in writing said understanding;</w:t>
      </w:r>
    </w:p>
    <w:p>
      <w:pPr>
        <w:pStyle w:val="TextBody"/>
        <w:bidi w:val="0"/>
        <w:spacing w:before="0" w:after="0"/>
        <w:ind w:left="2250" w:right="0" w:hanging="11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Parties hereby agree, declare and covenant as follows:</w:t>
      </w:r>
    </w:p>
    <w:p>
      <w:pPr>
        <w:pStyle w:val="TextBody"/>
        <w:bidi w:val="0"/>
        <w:spacing w:before="0" w:after="0"/>
        <w:ind w:left="122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 xml:space="preserve">Salary </w:t>
      </w:r>
    </w:p>
    <w:p>
      <w:pPr>
        <w:pStyle w:val="TextBody"/>
        <w:bidi w:val="0"/>
        <w:spacing w:before="0" w:after="0"/>
        <w:ind w:left="122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Amendment Date, retroactive to January 1, 2025, the Employee’s gross annual Salary shall be increased to a gross amount of NIS 960,000. During the term of the Employment Agreement, the compensation committee of the Board of Directors, or, if there be no such compensation committee, the entire Board of Directors (in either case, the “Compensation Committee”), shall review the Employee’s Salary on an annual basis and may provide for such increases thereto as it may determine, taking into account such performance metrics and criteria of the Employee and of the Company in the Compensation Committee’s sole discretion</w:t>
            </w:r>
          </w:p>
        </w:tc>
      </w:tr>
    </w:tbl>
    <w:p>
      <w:pPr>
        <w:pStyle w:val="TextBody"/>
        <w:bidi w:val="0"/>
        <w:spacing w:before="0" w:after="0"/>
        <w:ind w:left="2016" w:right="0" w:hanging="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4"/>
        <w:gridCol w:w="9863"/>
      </w:tblGrid>
      <w:tr>
        <w:trPr/>
        <w:tc>
          <w:tcPr>
            <w:tcW w:w="3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 shall be entitled to receive incentive equity awards on an annual basis in the discretion of the Compensation Committee of the Board of Directors of the Company.</w:t>
            </w:r>
          </w:p>
        </w:tc>
      </w:tr>
    </w:tbl>
    <w:p>
      <w:pPr>
        <w:pStyle w:val="TextBody"/>
        <w:bidi w:val="0"/>
        <w:spacing w:before="0" w:after="0"/>
        <w:ind w:left="2016" w:right="0" w:hanging="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xml:space="preserve">Miscellaneous </w:t>
      </w:r>
    </w:p>
    <w:p>
      <w:pPr>
        <w:pStyle w:val="TextBody"/>
        <w:bidi w:val="0"/>
        <w:spacing w:before="0" w:after="0"/>
        <w:ind w:left="122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6"/>
        <w:gridCol w:w="9851"/>
      </w:tblGrid>
      <w:tr>
        <w:trPr/>
        <w:tc>
          <w:tcPr>
            <w:tcW w:w="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unless otherwise defined, shall have the meanings ascribed to them in the Employment Agreement.</w:t>
            </w:r>
          </w:p>
        </w:tc>
      </w:tr>
    </w:tbl>
    <w:p>
      <w:pPr>
        <w:pStyle w:val="TextBody"/>
        <w:bidi w:val="0"/>
        <w:spacing w:before="0" w:after="0"/>
        <w:ind w:left="2016" w:right="0" w:hanging="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8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Addendum contains the entire agreement between the parties hereto with respect to the subject matter hereof, supersedes and cancels all prior agreements, arrangements and understandings, written or oral, relating to the subject matter hereof, if any. In any event of contradiction between the provisions of this Addendum and any prior agreement, whether written or oral, the provisions of this Addendum shall prevail.</w:t>
            </w:r>
          </w:p>
        </w:tc>
      </w:tr>
    </w:tbl>
    <w:p>
      <w:pPr>
        <w:pStyle w:val="TextBody"/>
        <w:bidi w:val="0"/>
        <w:spacing w:before="0" w:after="0"/>
        <w:ind w:left="2016" w:right="0" w:hanging="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Addendum may be amended, modified, superseded, canceled, renewed or extended, and the terms and covenants hereof may be waived, only by a written instrument executed by both parties. A waiver of any term or condition of this Addendum may be effected only by a written instrument executed by the party waiving compliance. The failure of any party, at any time or times, to require performance of any provision of this Addendum shall in no manner affect the right of such party, at a later time, to enforce the same. No waiver by any party of the breach of any term or covenant, whether by conduct or otherwise, in any one or more instances, shall be deemed to be, or construed as, a further or continuing waiver of any breach, or a waiver of the breach of any other term or covenant.</w:t>
            </w:r>
          </w:p>
        </w:tc>
      </w:tr>
    </w:tbl>
    <w:p>
      <w:pPr>
        <w:pStyle w:val="TextBody"/>
        <w:bidi w:val="0"/>
        <w:spacing w:before="0" w:after="0"/>
        <w:ind w:left="2016" w:right="0" w:hanging="4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 6 Hayozma St, Yokneam Illit, 2069024. P.O.B 242,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 +972-4-8200710 Fax: +972-4-8200712</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www.microbotmedical.com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28750" cy="857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0" cy="8572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8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otherwise specifically modified herein in this Addendum all of the terms and conditions of the Employment Agreement are hereby ratified, approved and confirmed and all such terms and conditions shall remain in full force and effect.</w:t>
            </w:r>
          </w:p>
        </w:tc>
      </w:tr>
    </w:tbl>
    <w:p>
      <w:pPr>
        <w:pStyle w:val="TextBody"/>
        <w:bidi w:val="0"/>
        <w:spacing w:before="0" w:after="0"/>
        <w:ind w:left="2016" w:right="0" w:hanging="432"/>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execute hereunder:</w:t>
      </w:r>
    </w:p>
    <w:p>
      <w:pPr>
        <w:pStyle w:val="TextBody"/>
        <w:bidi w:val="0"/>
        <w:spacing w:before="0" w:after="0"/>
        <w:ind w:left="3384"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28" w:type="dxa"/>
          <w:right w:w="0" w:type="dxa"/>
        </w:tblCellMar>
      </w:tblPr>
      <w:tblGrid>
        <w:gridCol w:w="1955"/>
        <w:gridCol w:w="60"/>
        <w:gridCol w:w="1430"/>
      </w:tblGrid>
      <w:tr>
        <w:trPr/>
        <w:tc>
          <w:tcPr>
            <w:tcW w:w="19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Naama Moav</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Simon Sharon</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Sharon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 6 Hayozma St, Yokneam Illit, 2069024. P.O.B 242,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 +972-4-8200710 Fax: +972-4-8200712</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www.microbotmedical.com</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432" w:right="0" w:hanging="0"/>
        <w:jc w:val="both"/>
        <w:rPr>
          <w:caps w:val="false"/>
          <w:smallCaps w:val="false"/>
        </w:rPr>
      </w:pPr>
      <w:bookmarkStart w:id="25" w:name="ex10-2.htm"/>
      <w:bookmarkStart w:id="26" w:name="ksex102"/>
      <w:bookmarkEnd w:id="25"/>
      <w:bookmarkEnd w:id="26"/>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450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28750" cy="1228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0" cy="1228725"/>
                    </a:xfrm>
                    <a:prstGeom prst="rect">
                      <a:avLst/>
                    </a:prstGeom>
                  </pic:spPr>
                </pic:pic>
              </a:graphicData>
            </a:graphic>
          </wp:inline>
        </w:drawing>
      </w:r>
    </w:p>
    <w:p>
      <w:pPr>
        <w:pStyle w:val="TextBody"/>
        <w:bidi w:val="0"/>
        <w:spacing w:before="0" w:after="0"/>
        <w:ind w:left="450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ADDENDUM TO EMPLOYMENT AGREEMENT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made and entered into as of February 5,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between</w:t>
      </w:r>
    </w:p>
    <w:p>
      <w:pPr>
        <w:pStyle w:val="TextBody"/>
        <w:bidi w:val="0"/>
        <w:spacing w:before="0" w:after="0"/>
        <w:ind w:left="3600" w:right="0" w:hanging="1152"/>
        <w:jc w:val="center"/>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3410"/>
        <w:gridCol w:w="60"/>
        <w:gridCol w:w="1475"/>
      </w:tblGrid>
      <w:tr>
        <w:trPr/>
        <w:tc>
          <w:tcPr>
            <w:tcW w:w="34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514519412</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6 Hayozma Street, Yokneam Illit, Israel</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 the first part</w:t>
            </w:r>
          </w:p>
        </w:tc>
      </w:tr>
      <w:tr>
        <w:trPr/>
        <w:tc>
          <w:tcPr>
            <w:tcW w:w="3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Rachel Vaknin</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I.D no. 35883685</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Israel</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 the second part</w:t>
            </w:r>
          </w:p>
        </w:tc>
      </w:tr>
    </w:tbl>
    <w:p>
      <w:pPr>
        <w:pStyle w:val="TextBody"/>
        <w:bidi w:val="0"/>
        <w:spacing w:before="0" w:after="0"/>
        <w:ind w:left="2340" w:right="0" w:hanging="12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Employee is employed by the Company in accordance with that certain employment agreement dated on November 22, 2021, and any addendum thereto (the “</w:t>
      </w:r>
      <w:r>
        <w:rPr>
          <w:rFonts w:ascii="Times New Roman;Times;Serif" w:hAnsi="Times New Roman;Times;Serif"/>
          <w:b/>
          <w:i w:val="false"/>
          <w:caps w:val="false"/>
          <w:smallCaps w:val="false"/>
          <w:sz w:val="20"/>
        </w:rPr>
        <w:t>Employment Agreement”);</w:t>
      </w:r>
    </w:p>
    <w:p>
      <w:pPr>
        <w:pStyle w:val="TextBody"/>
        <w:bidi w:val="0"/>
        <w:spacing w:before="0" w:after="0"/>
        <w:ind w:left="2340" w:right="0" w:hanging="12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Company and the Employee have agreed to amend certain term of the Employee’s Employment Agreement effective as of the date hereof (the “</w:t>
      </w:r>
      <w:r>
        <w:rPr>
          <w:rFonts w:ascii="Times New Roman;Times;Serif" w:hAnsi="Times New Roman;Times;Serif"/>
          <w:b/>
          <w:i w:val="false"/>
          <w:caps w:val="false"/>
          <w:smallCaps w:val="false"/>
          <w:sz w:val="20"/>
        </w:rPr>
        <w:t xml:space="preserve">Amendment Date”), </w:t>
      </w:r>
      <w:r>
        <w:rPr>
          <w:rFonts w:ascii="Times New Roman;Times;Serif" w:hAnsi="Times New Roman;Times;Serif"/>
          <w:b w:val="false"/>
          <w:i w:val="false"/>
          <w:caps w:val="false"/>
          <w:smallCaps w:val="false"/>
          <w:sz w:val="20"/>
        </w:rPr>
        <w:t>and wish to set forth in writing said understanding;</w:t>
      </w:r>
    </w:p>
    <w:p>
      <w:pPr>
        <w:pStyle w:val="TextBody"/>
        <w:bidi w:val="0"/>
        <w:spacing w:before="0" w:after="0"/>
        <w:ind w:left="2250" w:right="0" w:hanging="11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Parties hereby agree, declare and covenant as follows:</w:t>
      </w:r>
    </w:p>
    <w:p>
      <w:pPr>
        <w:pStyle w:val="TextBody"/>
        <w:bidi w:val="0"/>
        <w:spacing w:before="0" w:after="0"/>
        <w:ind w:left="122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 xml:space="preserve">Salary </w:t>
      </w:r>
    </w:p>
    <w:p>
      <w:pPr>
        <w:pStyle w:val="TextBody"/>
        <w:bidi w:val="0"/>
        <w:spacing w:before="0" w:after="0"/>
        <w:ind w:left="122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Amendment Date, retroactive to January 1, 2025, the Employee’s (a) gross annual Salary shall be increased to a gross amount of NIS 720,000, and (b) annual travel benefits shall be increased to NIS 5,000 per month. During the term of the Employment Agreement, the compensation committee of the Board of Directors, or, if there be no such compensation committee, the entire Board of Directors (in either case, the “Compensation Committee”), shall review the Employee’s Salary on an annual basis and may provide for such increases thereto as it may determine, taking into account such performance metrics and criteria of the Employee and of the Company in the Compensation Committee’s sole discretion.</w:t>
            </w:r>
          </w:p>
        </w:tc>
      </w:tr>
    </w:tbl>
    <w:p>
      <w:pPr>
        <w:pStyle w:val="TextBody"/>
        <w:bidi w:val="0"/>
        <w:spacing w:before="0" w:after="0"/>
        <w:ind w:left="2016" w:right="0" w:hanging="432"/>
        <w:jc w:val="both"/>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38"/>
        <w:gridCol w:w="32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3.6(a) 0of the Agreement shall be replaced with:</w:t>
            </w:r>
          </w:p>
        </w:tc>
      </w:tr>
    </w:tbl>
    <w:p>
      <w:pPr>
        <w:pStyle w:val="TextBody"/>
        <w:bidi w:val="0"/>
        <w:spacing w:before="0" w:after="0"/>
        <w:ind w:left="2016" w:right="0" w:hanging="432"/>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You may be eligible to receive an annual bonus in the aggregate amount of up to thirty five percent (35%) of the annual salary, contingent upon meeting certain targets, as shall be determined from time to time by the Company, at its sole discretion (the “Bonus”). It is hereby clarified that the Company shall have the sole discretion regarding the decision whether you have achieved the goals which were set to you.”</w:t>
      </w:r>
    </w:p>
    <w:p>
      <w:pPr>
        <w:pStyle w:val="TextBody"/>
        <w:bidi w:val="0"/>
        <w:spacing w:before="0" w:after="0"/>
        <w:ind w:left="2016" w:right="0" w:hanging="9"/>
        <w:jc w:val="both"/>
        <w:rPr>
          <w:caps w:val="false"/>
          <w:smallCaps w:val="false"/>
        </w:rPr>
      </w:pPr>
      <w:r>
        <w:rPr>
          <w:caps w:val="false"/>
          <w:smallCaps w:val="false"/>
        </w:rPr>
        <w:t> </w:t>
      </w:r>
    </w:p>
    <w:p>
      <w:pPr>
        <w:pStyle w:val="TextBody"/>
        <w:bidi w:val="0"/>
        <w:spacing w:before="0" w:after="0"/>
        <w:ind w:left="122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xml:space="preserve">Miscellaneous </w:t>
      </w:r>
    </w:p>
    <w:p>
      <w:pPr>
        <w:pStyle w:val="TextBody"/>
        <w:bidi w:val="0"/>
        <w:spacing w:before="0" w:after="0"/>
        <w:ind w:left="122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6"/>
        <w:gridCol w:w="9851"/>
      </w:tblGrid>
      <w:tr>
        <w:trPr/>
        <w:tc>
          <w:tcPr>
            <w:tcW w:w="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unless otherwise defined, shall have the meanings ascribed to them in the Employment Agreement.</w:t>
            </w:r>
          </w:p>
        </w:tc>
      </w:tr>
    </w:tbl>
    <w:p>
      <w:pPr>
        <w:pStyle w:val="TextBody"/>
        <w:bidi w:val="0"/>
        <w:spacing w:before="0" w:after="0"/>
        <w:ind w:left="2016" w:right="0" w:hanging="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8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Addendum contains the entire agreement between the parties hereto with respect to the subject matter hereof, supersedes and cancels all prior agreements, arrangements and understandings, written or oral, relating to the subject matter hereof, if any. In any event of contradiction between the provisions of this Addendum and any prior agreement, whether written or oral, the provisions of this Addendum shall prevail.</w:t>
            </w:r>
          </w:p>
        </w:tc>
      </w:tr>
    </w:tbl>
    <w:p>
      <w:pPr>
        <w:pStyle w:val="TextBody"/>
        <w:bidi w:val="0"/>
        <w:spacing w:before="0" w:after="0"/>
        <w:ind w:left="2016" w:right="0" w:hanging="4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 6 Hayozma St, Yokneam Illit, 2069024. P.O.B 242,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 +972-4-8200710 Fax: +972-4-8200712</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www.microbotmedical.com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28750" cy="1781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0" cy="17811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Addendum may be amended, modified, superseded, canceled, renewed or extended, and the terms and covenants hereof may be waived, only by a written instrument executed by both parties. A waiver of any term or condition of this Addendum may be effected only by a written instrument executed by the party waiving compliance. The failure of any party, at any time or times, to require performance of any provision of this Addendum shall in no manner affect the right of such party, at a later time, to enforce the same. No waiver by any party of the breach of any term or covenant, whether by conduct or otherwise, in any one or more instances, shall be deemed to be, or construed as, a further or continuing waiver of any breach, or a waiver of the breach of any other term or covenant.</w:t>
            </w:r>
          </w:p>
        </w:tc>
      </w:tr>
    </w:tbl>
    <w:p>
      <w:pPr>
        <w:pStyle w:val="TextBody"/>
        <w:bidi w:val="0"/>
        <w:spacing w:before="0" w:after="0"/>
        <w:ind w:left="2016" w:right="0" w:hanging="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8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otherwise specifically modified herein in this Addendum all of the terms and conditions of the Employment Agreement are hereby ratified, approved and confirmed and all such terms and conditions shall remain in full force and effect.</w:t>
            </w:r>
          </w:p>
        </w:tc>
      </w:tr>
    </w:tbl>
    <w:p>
      <w:pPr>
        <w:pStyle w:val="TextBody"/>
        <w:bidi w:val="0"/>
        <w:spacing w:before="0" w:after="0"/>
        <w:ind w:left="2016" w:right="0" w:hanging="432"/>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execute hereunder:</w:t>
      </w:r>
    </w:p>
    <w:p>
      <w:pPr>
        <w:pStyle w:val="TextBody"/>
        <w:bidi w:val="0"/>
        <w:spacing w:before="0" w:after="0"/>
        <w:ind w:left="3384"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28" w:type="dxa"/>
          <w:right w:w="0" w:type="dxa"/>
        </w:tblCellMar>
      </w:tblPr>
      <w:tblGrid>
        <w:gridCol w:w="1955"/>
        <w:gridCol w:w="60"/>
        <w:gridCol w:w="1475"/>
      </w:tblGrid>
      <w:tr>
        <w:trPr/>
        <w:tc>
          <w:tcPr>
            <w:tcW w:w="19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Naama Moav</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Rachel Vaknin</w:t>
            </w:r>
          </w:p>
        </w:tc>
      </w:tr>
    </w:tbl>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260"/>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384"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 6 Hayozma St, Yokneam Illit, 2069024. P.O.B 242,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 +972-4-8200710 Fax: +972-4-8200712</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www.microbotmedical.com</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7" w:name="ex10-3.htm"/>
      <w:bookmarkStart w:id="28" w:name="ksex103"/>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(this “Amendment”) to the Employment Agreement effective as of December 1, 2023 (the “Agreement”) by and between Microbot Medical Inc., a Delaware corporation, and Dr. Juan Diaz-Cartelle (the Executive”), is made as of the 5</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day of February, 2025, by and between the Company and the Executive (capitalized terms used herein and not otherwise defined shall have the meanings ascribed to those terms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Executive are parties to the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Executive desire to amend the Agreement as more particularly set forth herein;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19 of the Agreement provides that all terms, conditions and provisions of the Agreement shall remain in full force and effect unless modified, changed, altered or amended, in writing, executed by both parties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promises and covenants contained in this Agreement,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Amendments to Agreement</w:t>
      </w:r>
      <w:r>
        <w:rPr>
          <w:rFonts w:ascii="Times New Roman;Times;Serif" w:hAnsi="Times New Roman;Times;Serif"/>
          <w:b w:val="false"/>
          <w:i w:val="false"/>
          <w:caps w:val="false"/>
          <w:smallCaps w:val="false"/>
          <w:sz w:val="20"/>
        </w:rPr>
        <w:t>. The Target Bonus shall be increased from up to a maximum amount of thirty percent (30%) of Executive’s Base Salary for performance at the maximum level, to up thirty five percent (35%) of Executive’s Base Salary for performance at the maximum level. The Compensation Committee may review the maximum Target Bonus on a percentage basis annually and may provide for such changes thereto as it may determine, taking into account such performance metrics and criteria of the Executive and of the Company (including peer group comparisons) in the Compensation Committee’s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expressly set forth in this Amendment, the Agreement shall remain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headings of the sections of this Amendment have been inserted for convenience of reference only and shall not be deemed to be a part of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Amendment, together with the Agreement, contain the entire agreement between the Company and the Executive with respect to the subject matter hereof and thereof and supersede all prior and contemporaneous agreements and understandings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Amendment may be executed in any number of counterparts, each of which shall be deemed to be an original instrument, but all such counterparts together shall constitute but one agreement. Fax and electronic signatures shall be deemed originals for all purposes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Amendment shall be governed by, and construed in accordance with, the laws of the Commonwealth of Massachusetts.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[Remainder Of This Page Intentionally Left Blank; Signature Page Follows]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undersigned have executed and delivered this Amendment as of the day and year first written above.</w:t>
      </w:r>
    </w:p>
    <w:p>
      <w:pPr>
        <w:pStyle w:val="TextBody"/>
        <w:bidi w:val="0"/>
        <w:spacing w:before="0" w:after="0"/>
        <w:ind w:left="0" w:right="0" w:firstLine="72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590"/>
        <w:gridCol w:w="2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President and Chairman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Juan Diaz-Cartelle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Juan Diaz-Cartelle</w:t>
            </w:r>
          </w:p>
        </w:tc>
      </w:tr>
    </w:tbl>
    <w:p>
      <w:pPr>
        <w:pStyle w:val="TextBody"/>
        <w:bidi w:val="0"/>
        <w:spacing w:before="0" w:after="0"/>
        <w:ind w:left="495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2374</Words>
  <Characters>12745</Characters>
  <CharactersWithSpaces>15155</CharactersWithSpaces>
  <Paragraphs>422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