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3320"/>
        <w:spacing w:after="0"/>
        <w:rPr>
          <w:sz w:val="20"/>
          <w:szCs w:val="20"/>
          <w:color w:val="auto"/>
        </w:rPr>
      </w:pPr>
      <w:r>
        <w:rPr>
          <w:rFonts w:ascii="Courier New" w:cs="Courier New" w:eastAsia="Courier New" w:hAnsi="Courier New"/>
          <w:sz w:val="16"/>
          <w:szCs w:val="16"/>
          <w:color w:val="auto"/>
        </w:rPr>
        <w:t>Filed Pursuant to Rule 424 (b)(3)</w:t>
      </w:r>
    </w:p>
    <w:p>
      <w:pPr>
        <w:spacing w:after="0" w:line="7" w:lineRule="exact"/>
        <w:rPr>
          <w:sz w:val="24"/>
          <w:szCs w:val="24"/>
          <w:color w:val="auto"/>
        </w:rPr>
      </w:pPr>
    </w:p>
    <w:p>
      <w:pPr>
        <w:jc w:val="right"/>
        <w:ind w:right="3320"/>
        <w:spacing w:after="0"/>
        <w:rPr>
          <w:sz w:val="20"/>
          <w:szCs w:val="20"/>
          <w:color w:val="auto"/>
        </w:rPr>
      </w:pPr>
      <w:r>
        <w:rPr>
          <w:rFonts w:ascii="Courier New" w:cs="Courier New" w:eastAsia="Courier New" w:hAnsi="Courier New"/>
          <w:sz w:val="16"/>
          <w:szCs w:val="16"/>
          <w:color w:val="auto"/>
        </w:rPr>
        <w:t>Registration No. 333-54208</w:t>
      </w:r>
    </w:p>
    <w:p>
      <w:pPr>
        <w:spacing w:after="0" w:line="383" w:lineRule="exact"/>
        <w:rPr>
          <w:sz w:val="24"/>
          <w:szCs w:val="24"/>
          <w:color w:val="auto"/>
        </w:rPr>
      </w:pPr>
    </w:p>
    <w:p>
      <w:pPr>
        <w:ind w:left="2240"/>
        <w:spacing w:after="0"/>
        <w:rPr>
          <w:sz w:val="20"/>
          <w:szCs w:val="20"/>
          <w:color w:val="auto"/>
        </w:rPr>
      </w:pPr>
      <w:r>
        <w:rPr>
          <w:rFonts w:ascii="Courier New" w:cs="Courier New" w:eastAsia="Courier New" w:hAnsi="Courier New"/>
          <w:sz w:val="16"/>
          <w:szCs w:val="16"/>
          <w:color w:val="auto"/>
        </w:rPr>
        <w:t>SUPPLEMENT NO. 2 DATED MAY 15, 2001</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6"/>
          <w:szCs w:val="16"/>
          <w:color w:val="auto"/>
        </w:rPr>
        <w:t>TO PROSPECTUS DATED FEBRUARY 2, 2001</w:t>
      </w:r>
    </w:p>
    <w:p>
      <w:pPr>
        <w:spacing w:after="0" w:line="7" w:lineRule="exact"/>
        <w:rPr>
          <w:sz w:val="24"/>
          <w:szCs w:val="24"/>
          <w:color w:val="auto"/>
        </w:rPr>
      </w:pPr>
    </w:p>
    <w:p>
      <w:pPr>
        <w:ind w:left="224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7" w:lineRule="exact"/>
        <w:rPr>
          <w:sz w:val="24"/>
          <w:szCs w:val="24"/>
          <w:color w:val="auto"/>
        </w:rPr>
      </w:pPr>
    </w:p>
    <w:p>
      <w:pPr>
        <w:ind w:left="2840"/>
        <w:spacing w:after="0"/>
        <w:rPr>
          <w:sz w:val="20"/>
          <w:szCs w:val="20"/>
          <w:color w:val="auto"/>
        </w:rPr>
      </w:pPr>
      <w:r>
        <w:rPr>
          <w:rFonts w:ascii="Courier New" w:cs="Courier New" w:eastAsia="Courier New" w:hAnsi="Courier New"/>
          <w:sz w:val="16"/>
          <w:szCs w:val="16"/>
          <w:color w:val="auto"/>
        </w:rPr>
        <w:t>WASHINGTON, D.C. 20549</w:t>
      </w:r>
    </w:p>
    <w:p>
      <w:pPr>
        <w:spacing w:after="0" w:line="383" w:lineRule="exact"/>
        <w:rPr>
          <w:sz w:val="24"/>
          <w:szCs w:val="24"/>
          <w:color w:val="auto"/>
        </w:rPr>
      </w:pPr>
    </w:p>
    <w:p>
      <w:pPr>
        <w:ind w:right="3520" w:firstLine="880"/>
        <w:spacing w:after="0" w:line="249" w:lineRule="auto"/>
        <w:rPr>
          <w:sz w:val="20"/>
          <w:szCs w:val="20"/>
          <w:color w:val="auto"/>
        </w:rPr>
      </w:pPr>
      <w:r>
        <w:rPr>
          <w:rFonts w:ascii="Courier New" w:cs="Courier New" w:eastAsia="Courier New" w:hAnsi="Courier New"/>
          <w:sz w:val="16"/>
          <w:szCs w:val="16"/>
          <w:color w:val="auto"/>
        </w:rPr>
        <w:t>This Supplement No. 2 to the Prospectus dated February 2, 2001 (the "Prospectus") is filed pursuant to Rule 424(b)(3) to reflect facts and events that constitute a substantive change from or addition to the information set forth in the Prospectus. The information contained in this Supplement reflects disclosures contained in our Quarterly Report on Form 10-Q, filed May 9, 2001 and our report on Form 8-K, filed May 14, 2001.</w:t>
      </w:r>
    </w:p>
    <w:p>
      <w:pPr>
        <w:spacing w:after="0" w:line="375" w:lineRule="exact"/>
        <w:rPr>
          <w:sz w:val="24"/>
          <w:szCs w:val="24"/>
          <w:color w:val="auto"/>
        </w:rPr>
      </w:pPr>
    </w:p>
    <w:p>
      <w:pPr>
        <w:ind w:left="2940"/>
        <w:spacing w:after="0"/>
        <w:rPr>
          <w:sz w:val="20"/>
          <w:szCs w:val="20"/>
          <w:color w:val="auto"/>
        </w:rPr>
      </w:pPr>
      <w:r>
        <w:rPr>
          <w:rFonts w:ascii="Courier New" w:cs="Courier New" w:eastAsia="Courier New" w:hAnsi="Courier New"/>
          <w:sz w:val="16"/>
          <w:szCs w:val="16"/>
          <w:color w:val="auto"/>
        </w:rPr>
        <w:t>FINANCIAL STATEMENTS</w:t>
      </w:r>
    </w:p>
    <w:p>
      <w:pPr>
        <w:spacing w:after="0" w:line="195" w:lineRule="exact"/>
        <w:rPr>
          <w:sz w:val="24"/>
          <w:szCs w:val="24"/>
          <w:color w:val="auto"/>
        </w:rPr>
      </w:pPr>
    </w:p>
    <w:p>
      <w:pPr>
        <w:jc w:val="center"/>
        <w:ind w:right="3220"/>
        <w:spacing w:after="0"/>
        <w:rPr>
          <w:sz w:val="20"/>
          <w:szCs w:val="20"/>
          <w:color w:val="auto"/>
        </w:rPr>
      </w:pPr>
      <w:r>
        <w:rPr>
          <w:rFonts w:ascii="Courier New" w:cs="Courier New" w:eastAsia="Courier New" w:hAnsi="Courier New"/>
          <w:sz w:val="16"/>
          <w:szCs w:val="16"/>
          <w:color w:val="auto"/>
        </w:rPr>
        <w:t>STEMCELLS, INC.</w:t>
      </w:r>
    </w:p>
    <w:p>
      <w:pPr>
        <w:spacing w:after="0" w:line="7" w:lineRule="exact"/>
        <w:rPr>
          <w:sz w:val="24"/>
          <w:szCs w:val="24"/>
          <w:color w:val="auto"/>
        </w:rPr>
      </w:pPr>
    </w:p>
    <w:p>
      <w:pPr>
        <w:jc w:val="center"/>
        <w:ind w:right="3220"/>
        <w:spacing w:after="0"/>
        <w:rPr>
          <w:sz w:val="20"/>
          <w:szCs w:val="20"/>
          <w:color w:val="auto"/>
        </w:rPr>
      </w:pPr>
      <w:r>
        <w:rPr>
          <w:rFonts w:ascii="Courier New" w:cs="Courier New" w:eastAsia="Courier New" w:hAnsi="Courier New"/>
          <w:sz w:val="16"/>
          <w:szCs w:val="16"/>
          <w:color w:val="auto"/>
        </w:rPr>
        <w:t>CONDENSED CONSOLIDATED BALANCE SHEETS</w:t>
      </w:r>
    </w:p>
    <w:p>
      <w:pPr>
        <w:spacing w:after="0" w:line="200" w:lineRule="exact"/>
        <w:rPr>
          <w:sz w:val="24"/>
          <w:szCs w:val="24"/>
          <w:color w:val="auto"/>
        </w:rPr>
      </w:pPr>
    </w:p>
    <w:p>
      <w:pPr>
        <w:spacing w:after="0" w:line="371"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5320" w:type="dxa"/>
            <w:vAlign w:val="bottom"/>
          </w:tcPr>
          <w:p>
            <w:pPr>
              <w:spacing w:after="0"/>
              <w:rPr>
                <w:sz w:val="15"/>
                <w:szCs w:val="15"/>
                <w:color w:val="auto"/>
              </w:rPr>
            </w:pPr>
          </w:p>
        </w:tc>
        <w:tc>
          <w:tcPr>
            <w:tcW w:w="362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MARCH 31, 2001</w:t>
            </w:r>
          </w:p>
        </w:tc>
        <w:tc>
          <w:tcPr>
            <w:tcW w:w="2200" w:type="dxa"/>
            <w:vAlign w:val="bottom"/>
          </w:tcPr>
          <w:p>
            <w:pPr>
              <w:spacing w:after="0"/>
              <w:rPr>
                <w:sz w:val="15"/>
                <w:szCs w:val="15"/>
                <w:color w:val="auto"/>
              </w:rPr>
            </w:pPr>
          </w:p>
        </w:tc>
      </w:tr>
      <w:tr>
        <w:trPr>
          <w:trHeight w:val="188"/>
        </w:trPr>
        <w:tc>
          <w:tcPr>
            <w:tcW w:w="5320" w:type="dxa"/>
            <w:vAlign w:val="bottom"/>
          </w:tcPr>
          <w:p>
            <w:pPr>
              <w:spacing w:after="0"/>
              <w:rPr>
                <w:sz w:val="16"/>
                <w:szCs w:val="16"/>
                <w:color w:val="auto"/>
              </w:rPr>
            </w:pPr>
          </w:p>
        </w:tc>
        <w:tc>
          <w:tcPr>
            <w:tcW w:w="362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(UNAUDITED)</w:t>
            </w:r>
          </w:p>
        </w:tc>
        <w:tc>
          <w:tcPr>
            <w:tcW w:w="2200" w:type="dxa"/>
            <w:vAlign w:val="bottom"/>
          </w:tcPr>
          <w:p>
            <w:pPr>
              <w:jc w:val="right"/>
              <w:spacing w:after="0"/>
              <w:rPr>
                <w:sz w:val="20"/>
                <w:szCs w:val="20"/>
                <w:color w:val="auto"/>
              </w:rPr>
            </w:pPr>
            <w:r>
              <w:rPr>
                <w:rFonts w:ascii="Courier New" w:cs="Courier New" w:eastAsia="Courier New" w:hAnsi="Courier New"/>
                <w:sz w:val="16"/>
                <w:szCs w:val="16"/>
                <w:color w:val="auto"/>
              </w:rPr>
              <w:t>DECEMBER 31, 2000</w:t>
            </w:r>
          </w:p>
        </w:tc>
      </w:tr>
      <w:tr>
        <w:trPr>
          <w:trHeight w:val="188"/>
        </w:trPr>
        <w:tc>
          <w:tcPr>
            <w:tcW w:w="5320" w:type="dxa"/>
            <w:vAlign w:val="bottom"/>
          </w:tcPr>
          <w:p>
            <w:pPr>
              <w:spacing w:after="0"/>
              <w:rPr>
                <w:sz w:val="16"/>
                <w:szCs w:val="16"/>
                <w:color w:val="auto"/>
              </w:rPr>
            </w:pPr>
          </w:p>
        </w:tc>
        <w:tc>
          <w:tcPr>
            <w:tcW w:w="362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w:t>
            </w:r>
          </w:p>
        </w:tc>
        <w:tc>
          <w:tcPr>
            <w:tcW w:w="2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532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362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188"/>
        </w:trPr>
        <w:tc>
          <w:tcPr>
            <w:tcW w:w="532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3620" w:type="dxa"/>
            <w:vAlign w:val="bottom"/>
          </w:tcPr>
          <w:p>
            <w:pPr>
              <w:spacing w:after="0"/>
              <w:rPr>
                <w:sz w:val="16"/>
                <w:szCs w:val="16"/>
                <w:color w:val="auto"/>
              </w:rPr>
            </w:pPr>
          </w:p>
        </w:tc>
        <w:tc>
          <w:tcPr>
            <w:tcW w:w="2200" w:type="dxa"/>
            <w:vAlign w:val="bottom"/>
          </w:tcPr>
          <w:p>
            <w:pPr>
              <w:spacing w:after="0"/>
              <w:rPr>
                <w:sz w:val="16"/>
                <w:szCs w:val="16"/>
                <w:color w:val="auto"/>
              </w:rPr>
            </w:pPr>
          </w:p>
        </w:tc>
      </w:tr>
      <w:tr>
        <w:trPr>
          <w:trHeight w:val="188"/>
        </w:trPr>
        <w:tc>
          <w:tcPr>
            <w:tcW w:w="5320" w:type="dxa"/>
            <w:vAlign w:val="bottom"/>
          </w:tcPr>
          <w:p>
            <w:pPr>
              <w:ind w:left="480"/>
              <w:spacing w:after="0"/>
              <w:rPr>
                <w:sz w:val="20"/>
                <w:szCs w:val="20"/>
                <w:color w:val="auto"/>
              </w:rPr>
            </w:pPr>
            <w:r>
              <w:rPr>
                <w:rFonts w:ascii="Courier New" w:cs="Courier New" w:eastAsia="Courier New" w:hAnsi="Courier New"/>
                <w:sz w:val="16"/>
                <w:szCs w:val="16"/>
                <w:color w:val="auto"/>
              </w:rPr>
              <w:t>Cash and cash equivalents</w:t>
            </w:r>
          </w:p>
        </w:tc>
        <w:tc>
          <w:tcPr>
            <w:tcW w:w="36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$4,499,158</w:t>
            </w:r>
          </w:p>
        </w:tc>
        <w:tc>
          <w:tcPr>
            <w:tcW w:w="2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$6,068,947</w:t>
            </w:r>
          </w:p>
        </w:tc>
      </w:tr>
      <w:tr>
        <w:trPr>
          <w:trHeight w:val="188"/>
        </w:trPr>
        <w:tc>
          <w:tcPr>
            <w:tcW w:w="5320" w:type="dxa"/>
            <w:vAlign w:val="bottom"/>
          </w:tcPr>
          <w:p>
            <w:pPr>
              <w:ind w:left="480"/>
              <w:spacing w:after="0"/>
              <w:rPr>
                <w:sz w:val="20"/>
                <w:szCs w:val="20"/>
                <w:color w:val="auto"/>
              </w:rPr>
            </w:pPr>
            <w:r>
              <w:rPr>
                <w:rFonts w:ascii="Courier New" w:cs="Courier New" w:eastAsia="Courier New" w:hAnsi="Courier New"/>
                <w:sz w:val="16"/>
                <w:szCs w:val="16"/>
                <w:color w:val="auto"/>
              </w:rPr>
              <w:t>Short-term restricted investments</w:t>
            </w:r>
          </w:p>
        </w:tc>
        <w:tc>
          <w:tcPr>
            <w:tcW w:w="36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8,412,650</w:t>
            </w:r>
          </w:p>
        </w:tc>
        <w:tc>
          <w:tcPr>
            <w:tcW w:w="2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16,356,334</w:t>
            </w:r>
          </w:p>
        </w:tc>
      </w:tr>
      <w:tr>
        <w:trPr>
          <w:trHeight w:val="188"/>
        </w:trPr>
        <w:tc>
          <w:tcPr>
            <w:tcW w:w="5320" w:type="dxa"/>
            <w:vAlign w:val="bottom"/>
          </w:tcPr>
          <w:p>
            <w:pPr>
              <w:ind w:left="480"/>
              <w:spacing w:after="0"/>
              <w:rPr>
                <w:sz w:val="20"/>
                <w:szCs w:val="20"/>
                <w:color w:val="auto"/>
              </w:rPr>
            </w:pPr>
            <w:r>
              <w:rPr>
                <w:rFonts w:ascii="Courier New" w:cs="Courier New" w:eastAsia="Courier New" w:hAnsi="Courier New"/>
                <w:sz w:val="16"/>
                <w:szCs w:val="16"/>
                <w:color w:val="auto"/>
              </w:rPr>
              <w:t>Accrued interest receivable</w:t>
            </w:r>
          </w:p>
        </w:tc>
        <w:tc>
          <w:tcPr>
            <w:tcW w:w="36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9,706</w:t>
            </w:r>
          </w:p>
        </w:tc>
        <w:tc>
          <w:tcPr>
            <w:tcW w:w="2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16,725</w:t>
            </w:r>
          </w:p>
        </w:tc>
      </w:tr>
      <w:tr>
        <w:trPr>
          <w:trHeight w:val="188"/>
        </w:trPr>
        <w:tc>
          <w:tcPr>
            <w:tcW w:w="5320" w:type="dxa"/>
            <w:vAlign w:val="bottom"/>
          </w:tcPr>
          <w:p>
            <w:pPr>
              <w:ind w:left="480"/>
              <w:spacing w:after="0"/>
              <w:rPr>
                <w:sz w:val="20"/>
                <w:szCs w:val="20"/>
                <w:color w:val="auto"/>
              </w:rPr>
            </w:pPr>
            <w:r>
              <w:rPr>
                <w:rFonts w:ascii="Courier New" w:cs="Courier New" w:eastAsia="Courier New" w:hAnsi="Courier New"/>
                <w:sz w:val="16"/>
                <w:szCs w:val="16"/>
                <w:color w:val="auto"/>
              </w:rPr>
              <w:t>Prepaid rent</w:t>
            </w:r>
          </w:p>
        </w:tc>
        <w:tc>
          <w:tcPr>
            <w:tcW w:w="36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909,415</w:t>
            </w:r>
          </w:p>
        </w:tc>
        <w:tc>
          <w:tcPr>
            <w:tcW w:w="2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320" w:type="dxa"/>
            <w:vAlign w:val="bottom"/>
          </w:tcPr>
          <w:p>
            <w:pPr>
              <w:ind w:left="480"/>
              <w:spacing w:after="0"/>
              <w:rPr>
                <w:sz w:val="20"/>
                <w:szCs w:val="20"/>
                <w:color w:val="auto"/>
              </w:rPr>
            </w:pPr>
            <w:r>
              <w:rPr>
                <w:rFonts w:ascii="Courier New" w:cs="Courier New" w:eastAsia="Courier New" w:hAnsi="Courier New"/>
                <w:sz w:val="16"/>
                <w:szCs w:val="16"/>
                <w:color w:val="auto"/>
              </w:rPr>
              <w:t>Other current assets</w:t>
            </w:r>
          </w:p>
        </w:tc>
        <w:tc>
          <w:tcPr>
            <w:tcW w:w="36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473,696</w:t>
            </w:r>
          </w:p>
        </w:tc>
        <w:tc>
          <w:tcPr>
            <w:tcW w:w="2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524,509</w:t>
            </w:r>
          </w:p>
        </w:tc>
      </w:tr>
      <w:tr>
        <w:trPr>
          <w:trHeight w:val="188"/>
        </w:trPr>
        <w:tc>
          <w:tcPr>
            <w:tcW w:w="5320" w:type="dxa"/>
            <w:vAlign w:val="bottom"/>
          </w:tcPr>
          <w:p>
            <w:pPr>
              <w:spacing w:after="0"/>
              <w:rPr>
                <w:sz w:val="16"/>
                <w:szCs w:val="16"/>
                <w:color w:val="auto"/>
              </w:rPr>
            </w:pPr>
          </w:p>
        </w:tc>
        <w:tc>
          <w:tcPr>
            <w:tcW w:w="36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2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320" w:type="dxa"/>
            <w:vAlign w:val="bottom"/>
          </w:tcPr>
          <w:p>
            <w:pPr>
              <w:ind w:left="880"/>
              <w:spacing w:after="0"/>
              <w:rPr>
                <w:sz w:val="20"/>
                <w:szCs w:val="20"/>
                <w:color w:val="auto"/>
              </w:rPr>
            </w:pPr>
            <w:r>
              <w:rPr>
                <w:rFonts w:ascii="Courier New" w:cs="Courier New" w:eastAsia="Courier New" w:hAnsi="Courier New"/>
                <w:sz w:val="16"/>
                <w:szCs w:val="16"/>
                <w:color w:val="auto"/>
              </w:rPr>
              <w:t>Total current assets</w:t>
            </w:r>
          </w:p>
        </w:tc>
        <w:tc>
          <w:tcPr>
            <w:tcW w:w="36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14,304,625</w:t>
            </w:r>
          </w:p>
        </w:tc>
        <w:tc>
          <w:tcPr>
            <w:tcW w:w="2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22,966,515</w:t>
            </w:r>
          </w:p>
        </w:tc>
      </w:tr>
      <w:tr>
        <w:trPr>
          <w:trHeight w:val="376"/>
        </w:trPr>
        <w:tc>
          <w:tcPr>
            <w:tcW w:w="5320" w:type="dxa"/>
            <w:vAlign w:val="bottom"/>
          </w:tcPr>
          <w:p>
            <w:pPr>
              <w:ind w:left="480"/>
              <w:spacing w:after="0"/>
              <w:rPr>
                <w:sz w:val="20"/>
                <w:szCs w:val="20"/>
                <w:color w:val="auto"/>
              </w:rPr>
            </w:pPr>
            <w:r>
              <w:rPr>
                <w:rFonts w:ascii="Courier New" w:cs="Courier New" w:eastAsia="Courier New" w:hAnsi="Courier New"/>
                <w:sz w:val="16"/>
                <w:szCs w:val="16"/>
                <w:color w:val="auto"/>
              </w:rPr>
              <w:t>Property held for sale</w:t>
            </w:r>
          </w:p>
        </w:tc>
        <w:tc>
          <w:tcPr>
            <w:tcW w:w="36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3,203,491</w:t>
            </w:r>
          </w:p>
        </w:tc>
        <w:tc>
          <w:tcPr>
            <w:tcW w:w="2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3,203,491</w:t>
            </w:r>
          </w:p>
        </w:tc>
      </w:tr>
      <w:tr>
        <w:trPr>
          <w:trHeight w:val="188"/>
        </w:trPr>
        <w:tc>
          <w:tcPr>
            <w:tcW w:w="5320" w:type="dxa"/>
            <w:vAlign w:val="bottom"/>
          </w:tcPr>
          <w:p>
            <w:pPr>
              <w:ind w:left="480"/>
              <w:spacing w:after="0"/>
              <w:rPr>
                <w:sz w:val="20"/>
                <w:szCs w:val="20"/>
                <w:color w:val="auto"/>
              </w:rPr>
            </w:pPr>
            <w:r>
              <w:rPr>
                <w:rFonts w:ascii="Courier New" w:cs="Courier New" w:eastAsia="Courier New" w:hAnsi="Courier New"/>
                <w:sz w:val="16"/>
                <w:szCs w:val="16"/>
                <w:color w:val="auto"/>
              </w:rPr>
              <w:t>Property, plant and equipment, net</w:t>
            </w:r>
          </w:p>
        </w:tc>
        <w:tc>
          <w:tcPr>
            <w:tcW w:w="36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1,442,089</w:t>
            </w:r>
          </w:p>
        </w:tc>
        <w:tc>
          <w:tcPr>
            <w:tcW w:w="2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1,451,061</w:t>
            </w:r>
          </w:p>
        </w:tc>
      </w:tr>
      <w:tr>
        <w:trPr>
          <w:trHeight w:val="188"/>
        </w:trPr>
        <w:tc>
          <w:tcPr>
            <w:tcW w:w="5320" w:type="dxa"/>
            <w:vAlign w:val="bottom"/>
          </w:tcPr>
          <w:p>
            <w:pPr>
              <w:ind w:left="480"/>
              <w:spacing w:after="0"/>
              <w:rPr>
                <w:sz w:val="20"/>
                <w:szCs w:val="20"/>
                <w:color w:val="auto"/>
              </w:rPr>
            </w:pPr>
            <w:r>
              <w:rPr>
                <w:rFonts w:ascii="Courier New" w:cs="Courier New" w:eastAsia="Courier New" w:hAnsi="Courier New"/>
                <w:sz w:val="16"/>
                <w:szCs w:val="16"/>
                <w:color w:val="auto"/>
              </w:rPr>
              <w:t>Other assets net</w:t>
            </w:r>
          </w:p>
        </w:tc>
        <w:tc>
          <w:tcPr>
            <w:tcW w:w="36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2,556,457</w:t>
            </w:r>
          </w:p>
        </w:tc>
        <w:tc>
          <w:tcPr>
            <w:tcW w:w="2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2,173,912</w:t>
            </w:r>
          </w:p>
        </w:tc>
      </w:tr>
      <w:tr>
        <w:trPr>
          <w:trHeight w:val="188"/>
        </w:trPr>
        <w:tc>
          <w:tcPr>
            <w:tcW w:w="5320" w:type="dxa"/>
            <w:vAlign w:val="bottom"/>
          </w:tcPr>
          <w:p>
            <w:pPr>
              <w:spacing w:after="0"/>
              <w:rPr>
                <w:sz w:val="16"/>
                <w:szCs w:val="16"/>
                <w:color w:val="auto"/>
              </w:rPr>
            </w:pPr>
          </w:p>
        </w:tc>
        <w:tc>
          <w:tcPr>
            <w:tcW w:w="36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2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532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36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$21,506,661</w:t>
            </w:r>
          </w:p>
        </w:tc>
        <w:tc>
          <w:tcPr>
            <w:tcW w:w="2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$29,794,979</w:t>
            </w:r>
          </w:p>
        </w:tc>
      </w:tr>
      <w:tr>
        <w:trPr>
          <w:trHeight w:val="188"/>
        </w:trPr>
        <w:tc>
          <w:tcPr>
            <w:tcW w:w="5320" w:type="dxa"/>
            <w:vAlign w:val="bottom"/>
          </w:tcPr>
          <w:p>
            <w:pPr>
              <w:spacing w:after="0"/>
              <w:rPr>
                <w:sz w:val="16"/>
                <w:szCs w:val="16"/>
                <w:color w:val="auto"/>
              </w:rPr>
            </w:pPr>
          </w:p>
        </w:tc>
        <w:tc>
          <w:tcPr>
            <w:tcW w:w="36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2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532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362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188"/>
        </w:trPr>
        <w:tc>
          <w:tcPr>
            <w:tcW w:w="532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3620" w:type="dxa"/>
            <w:vAlign w:val="bottom"/>
          </w:tcPr>
          <w:p>
            <w:pPr>
              <w:spacing w:after="0"/>
              <w:rPr>
                <w:sz w:val="16"/>
                <w:szCs w:val="16"/>
                <w:color w:val="auto"/>
              </w:rPr>
            </w:pPr>
          </w:p>
        </w:tc>
        <w:tc>
          <w:tcPr>
            <w:tcW w:w="2200" w:type="dxa"/>
            <w:vAlign w:val="bottom"/>
          </w:tcPr>
          <w:p>
            <w:pPr>
              <w:spacing w:after="0"/>
              <w:rPr>
                <w:sz w:val="16"/>
                <w:szCs w:val="16"/>
                <w:color w:val="auto"/>
              </w:rPr>
            </w:pPr>
          </w:p>
        </w:tc>
      </w:tr>
      <w:tr>
        <w:trPr>
          <w:trHeight w:val="188"/>
        </w:trPr>
        <w:tc>
          <w:tcPr>
            <w:tcW w:w="5320" w:type="dxa"/>
            <w:vAlign w:val="bottom"/>
          </w:tcPr>
          <w:p>
            <w:pPr>
              <w:ind w:left="480"/>
              <w:spacing w:after="0"/>
              <w:rPr>
                <w:sz w:val="20"/>
                <w:szCs w:val="20"/>
                <w:color w:val="auto"/>
              </w:rPr>
            </w:pPr>
            <w:r>
              <w:rPr>
                <w:rFonts w:ascii="Courier New" w:cs="Courier New" w:eastAsia="Courier New" w:hAnsi="Courier New"/>
                <w:sz w:val="16"/>
                <w:szCs w:val="16"/>
                <w:color w:val="auto"/>
              </w:rPr>
              <w:t>Accounts payable</w:t>
            </w:r>
          </w:p>
        </w:tc>
        <w:tc>
          <w:tcPr>
            <w:tcW w:w="36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$237,856</w:t>
            </w:r>
          </w:p>
        </w:tc>
        <w:tc>
          <w:tcPr>
            <w:tcW w:w="2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$526,191</w:t>
            </w:r>
          </w:p>
        </w:tc>
      </w:tr>
      <w:tr>
        <w:trPr>
          <w:trHeight w:val="188"/>
        </w:trPr>
        <w:tc>
          <w:tcPr>
            <w:tcW w:w="5320" w:type="dxa"/>
            <w:vAlign w:val="bottom"/>
          </w:tcPr>
          <w:p>
            <w:pPr>
              <w:ind w:left="480"/>
              <w:spacing w:after="0"/>
              <w:rPr>
                <w:sz w:val="20"/>
                <w:szCs w:val="20"/>
                <w:color w:val="auto"/>
              </w:rPr>
            </w:pPr>
            <w:r>
              <w:rPr>
                <w:rFonts w:ascii="Courier New" w:cs="Courier New" w:eastAsia="Courier New" w:hAnsi="Courier New"/>
                <w:sz w:val="16"/>
                <w:szCs w:val="16"/>
                <w:color w:val="auto"/>
              </w:rPr>
              <w:t>Accrued expenses</w:t>
            </w:r>
          </w:p>
        </w:tc>
        <w:tc>
          <w:tcPr>
            <w:tcW w:w="36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785,064</w:t>
            </w:r>
          </w:p>
        </w:tc>
        <w:tc>
          <w:tcPr>
            <w:tcW w:w="2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837,358</w:t>
            </w:r>
          </w:p>
        </w:tc>
      </w:tr>
      <w:tr>
        <w:trPr>
          <w:trHeight w:val="188"/>
        </w:trPr>
        <w:tc>
          <w:tcPr>
            <w:tcW w:w="5320" w:type="dxa"/>
            <w:vAlign w:val="bottom"/>
          </w:tcPr>
          <w:p>
            <w:pPr>
              <w:ind w:left="480"/>
              <w:spacing w:after="0"/>
              <w:rPr>
                <w:sz w:val="20"/>
                <w:szCs w:val="20"/>
                <w:color w:val="auto"/>
              </w:rPr>
            </w:pPr>
            <w:r>
              <w:rPr>
                <w:rFonts w:ascii="Courier New" w:cs="Courier New" w:eastAsia="Courier New" w:hAnsi="Courier New"/>
                <w:sz w:val="16"/>
                <w:szCs w:val="16"/>
                <w:color w:val="auto"/>
              </w:rPr>
              <w:t>Accrued wind-down costs</w:t>
            </w:r>
          </w:p>
        </w:tc>
        <w:tc>
          <w:tcPr>
            <w:tcW w:w="36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1,380,947</w:t>
            </w:r>
          </w:p>
        </w:tc>
        <w:tc>
          <w:tcPr>
            <w:tcW w:w="2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1,780,579</w:t>
            </w:r>
          </w:p>
        </w:tc>
      </w:tr>
    </w:tbl>
    <w:p>
      <w:pPr>
        <w:sectPr>
          <w:pgSz w:w="11900" w:h="16838" w:orient="portrait"/>
          <w:cols w:equalWidth="0" w:num="1">
            <w:col w:w="11140"/>
          </w:cols>
          <w:pgMar w:left="240" w:top="806" w:right="51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60" w:type="dxa"/>
            <w:vAlign w:val="bottom"/>
          </w:tcPr>
          <w:p>
            <w:pPr>
              <w:ind w:left="480"/>
              <w:spacing w:after="0"/>
              <w:rPr>
                <w:sz w:val="20"/>
                <w:szCs w:val="20"/>
                <w:color w:val="auto"/>
              </w:rPr>
            </w:pPr>
            <w:r>
              <w:rPr>
                <w:rFonts w:ascii="Courier New" w:cs="Courier New" w:eastAsia="Courier New" w:hAnsi="Courier New"/>
                <w:sz w:val="16"/>
                <w:szCs w:val="16"/>
                <w:color w:val="auto"/>
              </w:rPr>
              <w:t>Current maturities of capitalized lease</w:t>
            </w:r>
          </w:p>
        </w:tc>
        <w:tc>
          <w:tcPr>
            <w:tcW w:w="292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88"/>
        </w:trPr>
        <w:tc>
          <w:tcPr>
            <w:tcW w:w="6260" w:type="dxa"/>
            <w:vAlign w:val="bottom"/>
          </w:tcPr>
          <w:p>
            <w:pPr>
              <w:ind w:left="880"/>
              <w:spacing w:after="0"/>
              <w:rPr>
                <w:sz w:val="20"/>
                <w:szCs w:val="20"/>
                <w:color w:val="auto"/>
              </w:rPr>
            </w:pPr>
            <w:r>
              <w:rPr>
                <w:rFonts w:ascii="Courier New" w:cs="Courier New" w:eastAsia="Courier New" w:hAnsi="Courier New"/>
                <w:sz w:val="16"/>
                <w:szCs w:val="16"/>
                <w:color w:val="auto"/>
              </w:rPr>
              <w:t>obligations</w:t>
            </w:r>
          </w:p>
        </w:tc>
        <w:tc>
          <w:tcPr>
            <w:tcW w:w="292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333,333</w:t>
            </w:r>
          </w:p>
        </w:tc>
        <w:tc>
          <w:tcPr>
            <w:tcW w:w="1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332,083</w:t>
            </w:r>
          </w:p>
        </w:tc>
      </w:tr>
      <w:tr>
        <w:trPr>
          <w:trHeight w:val="188"/>
        </w:trPr>
        <w:tc>
          <w:tcPr>
            <w:tcW w:w="6260" w:type="dxa"/>
            <w:vAlign w:val="bottom"/>
          </w:tcPr>
          <w:p>
            <w:pPr>
              <w:spacing w:after="0"/>
              <w:rPr>
                <w:sz w:val="16"/>
                <w:szCs w:val="16"/>
                <w:color w:val="auto"/>
              </w:rPr>
            </w:pPr>
          </w:p>
        </w:tc>
        <w:tc>
          <w:tcPr>
            <w:tcW w:w="292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c>
          <w:tcPr>
            <w:tcW w:w="1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6260" w:type="dxa"/>
            <w:vAlign w:val="bottom"/>
          </w:tcPr>
          <w:p>
            <w:pPr>
              <w:spacing w:after="0"/>
              <w:rPr>
                <w:sz w:val="20"/>
                <w:szCs w:val="20"/>
                <w:color w:val="auto"/>
              </w:rPr>
            </w:pPr>
            <w:r>
              <w:rPr>
                <w:rFonts w:ascii="Courier New" w:cs="Courier New" w:eastAsia="Courier New" w:hAnsi="Courier New"/>
                <w:sz w:val="16"/>
                <w:szCs w:val="16"/>
                <w:color w:val="auto"/>
              </w:rPr>
              <w:t>Total current liabilities</w:t>
            </w:r>
          </w:p>
        </w:tc>
        <w:tc>
          <w:tcPr>
            <w:tcW w:w="292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2,737,200</w:t>
            </w:r>
          </w:p>
        </w:tc>
        <w:tc>
          <w:tcPr>
            <w:tcW w:w="1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3,476,211</w:t>
            </w:r>
          </w:p>
        </w:tc>
      </w:tr>
      <w:tr>
        <w:trPr>
          <w:trHeight w:val="376"/>
        </w:trPr>
        <w:tc>
          <w:tcPr>
            <w:tcW w:w="6260" w:type="dxa"/>
            <w:vAlign w:val="bottom"/>
          </w:tcPr>
          <w:p>
            <w:pPr>
              <w:spacing w:after="0"/>
              <w:rPr>
                <w:sz w:val="20"/>
                <w:szCs w:val="20"/>
                <w:color w:val="auto"/>
              </w:rPr>
            </w:pPr>
            <w:r>
              <w:rPr>
                <w:rFonts w:ascii="Courier New" w:cs="Courier New" w:eastAsia="Courier New" w:hAnsi="Courier New"/>
                <w:sz w:val="16"/>
                <w:szCs w:val="16"/>
                <w:color w:val="auto"/>
              </w:rPr>
              <w:t>Capitalized lease obligations, less current maturities</w:t>
            </w:r>
          </w:p>
        </w:tc>
        <w:tc>
          <w:tcPr>
            <w:tcW w:w="292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2,521,250</w:t>
            </w:r>
          </w:p>
        </w:tc>
        <w:tc>
          <w:tcPr>
            <w:tcW w:w="1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2,605,000</w:t>
            </w:r>
          </w:p>
        </w:tc>
      </w:tr>
      <w:tr>
        <w:trPr>
          <w:trHeight w:val="188"/>
        </w:trPr>
        <w:tc>
          <w:tcPr>
            <w:tcW w:w="6260" w:type="dxa"/>
            <w:vAlign w:val="bottom"/>
          </w:tcPr>
          <w:p>
            <w:pPr>
              <w:spacing w:after="0"/>
              <w:rPr>
                <w:sz w:val="20"/>
                <w:szCs w:val="20"/>
                <w:color w:val="auto"/>
              </w:rPr>
            </w:pPr>
            <w:r>
              <w:rPr>
                <w:rFonts w:ascii="Courier New" w:cs="Courier New" w:eastAsia="Courier New" w:hAnsi="Courier New"/>
                <w:sz w:val="16"/>
                <w:szCs w:val="16"/>
                <w:color w:val="auto"/>
              </w:rPr>
              <w:t>Deposits</w:t>
            </w:r>
          </w:p>
        </w:tc>
        <w:tc>
          <w:tcPr>
            <w:tcW w:w="292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26,000</w:t>
            </w:r>
          </w:p>
        </w:tc>
        <w:tc>
          <w:tcPr>
            <w:tcW w:w="1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26,000</w:t>
            </w:r>
          </w:p>
        </w:tc>
      </w:tr>
      <w:tr>
        <w:trPr>
          <w:trHeight w:val="188"/>
        </w:trPr>
        <w:tc>
          <w:tcPr>
            <w:tcW w:w="6260" w:type="dxa"/>
            <w:vAlign w:val="bottom"/>
          </w:tcPr>
          <w:p>
            <w:pPr>
              <w:spacing w:after="0"/>
              <w:rPr>
                <w:sz w:val="20"/>
                <w:szCs w:val="20"/>
                <w:color w:val="auto"/>
              </w:rPr>
            </w:pPr>
            <w:r>
              <w:rPr>
                <w:rFonts w:ascii="Courier New" w:cs="Courier New" w:eastAsia="Courier New" w:hAnsi="Courier New"/>
                <w:sz w:val="16"/>
                <w:szCs w:val="16"/>
                <w:color w:val="auto"/>
              </w:rPr>
              <w:t>Deferred rent</w:t>
            </w:r>
          </w:p>
        </w:tc>
        <w:tc>
          <w:tcPr>
            <w:tcW w:w="292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760,508</w:t>
            </w:r>
          </w:p>
        </w:tc>
        <w:tc>
          <w:tcPr>
            <w:tcW w:w="1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705,746</w:t>
            </w:r>
          </w:p>
        </w:tc>
      </w:tr>
      <w:tr>
        <w:trPr>
          <w:trHeight w:val="188"/>
        </w:trPr>
        <w:tc>
          <w:tcPr>
            <w:tcW w:w="626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292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188"/>
        </w:trPr>
        <w:tc>
          <w:tcPr>
            <w:tcW w:w="6260" w:type="dxa"/>
            <w:vAlign w:val="bottom"/>
          </w:tcPr>
          <w:p>
            <w:pPr>
              <w:ind w:left="480"/>
              <w:spacing w:after="0"/>
              <w:rPr>
                <w:sz w:val="20"/>
                <w:szCs w:val="20"/>
                <w:color w:val="auto"/>
              </w:rPr>
            </w:pPr>
            <w:r>
              <w:rPr>
                <w:rFonts w:ascii="Courier New" w:cs="Courier New" w:eastAsia="Courier New" w:hAnsi="Courier New"/>
                <w:sz w:val="16"/>
                <w:szCs w:val="16"/>
                <w:color w:val="auto"/>
              </w:rPr>
              <w:t>Convertible preferred stock, $.01 par value;</w:t>
            </w:r>
          </w:p>
        </w:tc>
        <w:tc>
          <w:tcPr>
            <w:tcW w:w="292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188"/>
        </w:trPr>
        <w:tc>
          <w:tcPr>
            <w:tcW w:w="6260" w:type="dxa"/>
            <w:vAlign w:val="bottom"/>
          </w:tcPr>
          <w:p>
            <w:pPr>
              <w:ind w:left="480"/>
              <w:spacing w:after="0"/>
              <w:rPr>
                <w:sz w:val="20"/>
                <w:szCs w:val="20"/>
                <w:color w:val="auto"/>
              </w:rPr>
            </w:pPr>
            <w:r>
              <w:rPr>
                <w:rFonts w:ascii="Courier New" w:cs="Courier New" w:eastAsia="Courier New" w:hAnsi="Courier New"/>
                <w:sz w:val="16"/>
                <w:szCs w:val="16"/>
                <w:color w:val="auto"/>
              </w:rPr>
              <w:t>1,000,000 shares unauthorized, 2,626</w:t>
            </w:r>
          </w:p>
        </w:tc>
        <w:tc>
          <w:tcPr>
            <w:tcW w:w="292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188"/>
        </w:trPr>
        <w:tc>
          <w:tcPr>
            <w:tcW w:w="6260" w:type="dxa"/>
            <w:vAlign w:val="bottom"/>
          </w:tcPr>
          <w:p>
            <w:pPr>
              <w:ind w:left="480"/>
              <w:spacing w:after="0"/>
              <w:rPr>
                <w:sz w:val="20"/>
                <w:szCs w:val="20"/>
                <w:color w:val="auto"/>
              </w:rPr>
            </w:pPr>
            <w:r>
              <w:rPr>
                <w:rFonts w:ascii="Courier New" w:cs="Courier New" w:eastAsia="Courier New" w:hAnsi="Courier New"/>
                <w:sz w:val="16"/>
                <w:szCs w:val="16"/>
                <w:color w:val="auto"/>
              </w:rPr>
              <w:t>designated as 6% Cumulative Convertible</w:t>
            </w:r>
          </w:p>
        </w:tc>
        <w:tc>
          <w:tcPr>
            <w:tcW w:w="292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188"/>
        </w:trPr>
        <w:tc>
          <w:tcPr>
            <w:tcW w:w="6260" w:type="dxa"/>
            <w:vAlign w:val="bottom"/>
          </w:tcPr>
          <w:p>
            <w:pPr>
              <w:ind w:left="480"/>
              <w:spacing w:after="0"/>
              <w:rPr>
                <w:sz w:val="20"/>
                <w:szCs w:val="20"/>
                <w:color w:val="auto"/>
              </w:rPr>
            </w:pPr>
            <w:r>
              <w:rPr>
                <w:rFonts w:ascii="Courier New" w:cs="Courier New" w:eastAsia="Courier New" w:hAnsi="Courier New"/>
                <w:sz w:val="16"/>
                <w:szCs w:val="16"/>
                <w:color w:val="auto"/>
              </w:rPr>
              <w:t>Preferred Stock 1,500,000 shares issued and</w:t>
            </w:r>
          </w:p>
        </w:tc>
        <w:tc>
          <w:tcPr>
            <w:tcW w:w="292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188"/>
        </w:trPr>
        <w:tc>
          <w:tcPr>
            <w:tcW w:w="6260" w:type="dxa"/>
            <w:vAlign w:val="bottom"/>
          </w:tcPr>
          <w:p>
            <w:pPr>
              <w:ind w:left="480"/>
              <w:spacing w:after="0"/>
              <w:rPr>
                <w:sz w:val="20"/>
                <w:szCs w:val="20"/>
                <w:color w:val="auto"/>
              </w:rPr>
            </w:pPr>
            <w:r>
              <w:rPr>
                <w:rFonts w:ascii="Courier New" w:cs="Courier New" w:eastAsia="Courier New" w:hAnsi="Courier New"/>
                <w:sz w:val="16"/>
                <w:szCs w:val="16"/>
                <w:color w:val="auto"/>
              </w:rPr>
              <w:t>outstanding at March 31, 2000, none at</w:t>
            </w:r>
          </w:p>
        </w:tc>
        <w:tc>
          <w:tcPr>
            <w:tcW w:w="292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188"/>
        </w:trPr>
        <w:tc>
          <w:tcPr>
            <w:tcW w:w="6260" w:type="dxa"/>
            <w:vAlign w:val="bottom"/>
          </w:tcPr>
          <w:p>
            <w:pPr>
              <w:ind w:left="480"/>
              <w:spacing w:after="0"/>
              <w:rPr>
                <w:sz w:val="20"/>
                <w:szCs w:val="20"/>
                <w:color w:val="auto"/>
              </w:rPr>
            </w:pPr>
            <w:r>
              <w:rPr>
                <w:rFonts w:ascii="Courier New" w:cs="Courier New" w:eastAsia="Courier New" w:hAnsi="Courier New"/>
                <w:sz w:val="16"/>
                <w:szCs w:val="16"/>
                <w:color w:val="auto"/>
              </w:rPr>
              <w:t>December 31, 2000</w:t>
            </w:r>
          </w:p>
        </w:tc>
        <w:tc>
          <w:tcPr>
            <w:tcW w:w="292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1,500,000</w:t>
            </w:r>
          </w:p>
        </w:tc>
        <w:tc>
          <w:tcPr>
            <w:tcW w:w="1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1,500,000</w:t>
            </w:r>
          </w:p>
        </w:tc>
      </w:tr>
      <w:tr>
        <w:trPr>
          <w:trHeight w:val="376"/>
        </w:trPr>
        <w:tc>
          <w:tcPr>
            <w:tcW w:w="6260" w:type="dxa"/>
            <w:vAlign w:val="bottom"/>
          </w:tcPr>
          <w:p>
            <w:pPr>
              <w:ind w:left="480"/>
              <w:spacing w:after="0"/>
              <w:rPr>
                <w:sz w:val="20"/>
                <w:szCs w:val="20"/>
                <w:color w:val="auto"/>
              </w:rPr>
            </w:pPr>
            <w:r>
              <w:rPr>
                <w:rFonts w:ascii="Courier New" w:cs="Courier New" w:eastAsia="Courier New" w:hAnsi="Courier New"/>
                <w:sz w:val="16"/>
                <w:szCs w:val="16"/>
                <w:color w:val="auto"/>
              </w:rPr>
              <w:t>Common stock, $.01 par value; 45,000,000</w:t>
            </w:r>
          </w:p>
        </w:tc>
        <w:tc>
          <w:tcPr>
            <w:tcW w:w="29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88"/>
        </w:trPr>
        <w:tc>
          <w:tcPr>
            <w:tcW w:w="6260" w:type="dxa"/>
            <w:vAlign w:val="bottom"/>
          </w:tcPr>
          <w:p>
            <w:pPr>
              <w:ind w:left="480"/>
              <w:spacing w:after="0"/>
              <w:rPr>
                <w:sz w:val="20"/>
                <w:szCs w:val="20"/>
                <w:color w:val="auto"/>
              </w:rPr>
            </w:pPr>
            <w:r>
              <w:rPr>
                <w:rFonts w:ascii="Courier New" w:cs="Courier New" w:eastAsia="Courier New" w:hAnsi="Courier New"/>
                <w:sz w:val="16"/>
                <w:szCs w:val="16"/>
                <w:color w:val="auto"/>
              </w:rPr>
              <w:t>shares authorized; 21,458,211 and 20,956,887</w:t>
            </w:r>
          </w:p>
        </w:tc>
        <w:tc>
          <w:tcPr>
            <w:tcW w:w="292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188"/>
        </w:trPr>
        <w:tc>
          <w:tcPr>
            <w:tcW w:w="6260" w:type="dxa"/>
            <w:vAlign w:val="bottom"/>
          </w:tcPr>
          <w:p>
            <w:pPr>
              <w:ind w:left="480"/>
              <w:spacing w:after="0"/>
              <w:rPr>
                <w:sz w:val="20"/>
                <w:szCs w:val="20"/>
                <w:color w:val="auto"/>
              </w:rPr>
            </w:pPr>
            <w:r>
              <w:rPr>
                <w:rFonts w:ascii="Courier New" w:cs="Courier New" w:eastAsia="Courier New" w:hAnsi="Courier New"/>
                <w:sz w:val="16"/>
                <w:szCs w:val="16"/>
                <w:color w:val="auto"/>
              </w:rPr>
              <w:t>shares issued and outstanding at March 31,</w:t>
            </w:r>
          </w:p>
        </w:tc>
        <w:tc>
          <w:tcPr>
            <w:tcW w:w="292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188"/>
        </w:trPr>
        <w:tc>
          <w:tcPr>
            <w:tcW w:w="6260" w:type="dxa"/>
            <w:vAlign w:val="bottom"/>
          </w:tcPr>
          <w:p>
            <w:pPr>
              <w:ind w:left="480"/>
              <w:spacing w:after="0"/>
              <w:rPr>
                <w:sz w:val="20"/>
                <w:szCs w:val="20"/>
                <w:color w:val="auto"/>
              </w:rPr>
            </w:pPr>
            <w:r>
              <w:rPr>
                <w:rFonts w:ascii="Courier New" w:cs="Courier New" w:eastAsia="Courier New" w:hAnsi="Courier New"/>
                <w:sz w:val="16"/>
                <w:szCs w:val="16"/>
                <w:color w:val="auto"/>
              </w:rPr>
              <w:t>2001 and December 31, 2000, respectively</w:t>
            </w:r>
          </w:p>
        </w:tc>
        <w:tc>
          <w:tcPr>
            <w:tcW w:w="292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214,612</w:t>
            </w:r>
          </w:p>
        </w:tc>
        <w:tc>
          <w:tcPr>
            <w:tcW w:w="1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209,569</w:t>
            </w:r>
          </w:p>
        </w:tc>
      </w:tr>
      <w:tr>
        <w:trPr>
          <w:trHeight w:val="376"/>
        </w:trPr>
        <w:tc>
          <w:tcPr>
            <w:tcW w:w="6260" w:type="dxa"/>
            <w:vAlign w:val="bottom"/>
          </w:tcPr>
          <w:p>
            <w:pPr>
              <w:ind w:left="880"/>
              <w:spacing w:after="0"/>
              <w:rPr>
                <w:sz w:val="20"/>
                <w:szCs w:val="20"/>
                <w:color w:val="auto"/>
              </w:rPr>
            </w:pPr>
            <w:r>
              <w:rPr>
                <w:rFonts w:ascii="Courier New" w:cs="Courier New" w:eastAsia="Courier New" w:hAnsi="Courier New"/>
                <w:sz w:val="16"/>
                <w:szCs w:val="16"/>
                <w:color w:val="auto"/>
              </w:rPr>
              <w:t>Additional paid in capital</w:t>
            </w:r>
          </w:p>
        </w:tc>
        <w:tc>
          <w:tcPr>
            <w:tcW w:w="292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137,608,696</w:t>
            </w:r>
          </w:p>
        </w:tc>
        <w:tc>
          <w:tcPr>
            <w:tcW w:w="1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138,150,067</w:t>
            </w:r>
          </w:p>
        </w:tc>
      </w:tr>
      <w:tr>
        <w:trPr>
          <w:trHeight w:val="188"/>
        </w:trPr>
        <w:tc>
          <w:tcPr>
            <w:tcW w:w="6260" w:type="dxa"/>
            <w:vAlign w:val="bottom"/>
          </w:tcPr>
          <w:p>
            <w:pPr>
              <w:ind w:left="880"/>
              <w:spacing w:after="0"/>
              <w:rPr>
                <w:sz w:val="20"/>
                <w:szCs w:val="20"/>
                <w:color w:val="auto"/>
              </w:rPr>
            </w:pPr>
            <w:r>
              <w:rPr>
                <w:rFonts w:ascii="Courier New" w:cs="Courier New" w:eastAsia="Courier New" w:hAnsi="Courier New"/>
                <w:sz w:val="16"/>
                <w:szCs w:val="16"/>
                <w:color w:val="auto"/>
              </w:rPr>
              <w:t>Accumulated deficit</w:t>
            </w:r>
          </w:p>
        </w:tc>
        <w:tc>
          <w:tcPr>
            <w:tcW w:w="292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(130,229,646)</w:t>
            </w:r>
          </w:p>
        </w:tc>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rPr>
              <w:t>(130,498,187)</w:t>
            </w:r>
          </w:p>
        </w:tc>
      </w:tr>
      <w:tr>
        <w:trPr>
          <w:trHeight w:val="188"/>
        </w:trPr>
        <w:tc>
          <w:tcPr>
            <w:tcW w:w="6260" w:type="dxa"/>
            <w:vAlign w:val="bottom"/>
          </w:tcPr>
          <w:p>
            <w:pPr>
              <w:ind w:left="880"/>
              <w:spacing w:after="0"/>
              <w:rPr>
                <w:sz w:val="20"/>
                <w:szCs w:val="20"/>
                <w:color w:val="auto"/>
              </w:rPr>
            </w:pPr>
            <w:r>
              <w:rPr>
                <w:rFonts w:ascii="Courier New" w:cs="Courier New" w:eastAsia="Courier New" w:hAnsi="Courier New"/>
                <w:sz w:val="16"/>
                <w:szCs w:val="16"/>
                <w:color w:val="auto"/>
              </w:rPr>
              <w:t>Accumulated other comprehensive</w:t>
            </w:r>
          </w:p>
        </w:tc>
        <w:tc>
          <w:tcPr>
            <w:tcW w:w="292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188"/>
        </w:trPr>
        <w:tc>
          <w:tcPr>
            <w:tcW w:w="6260" w:type="dxa"/>
            <w:vAlign w:val="bottom"/>
          </w:tcPr>
          <w:p>
            <w:pPr>
              <w:ind w:left="1360"/>
              <w:spacing w:after="0"/>
              <w:rPr>
                <w:sz w:val="20"/>
                <w:szCs w:val="20"/>
                <w:color w:val="auto"/>
              </w:rPr>
            </w:pPr>
            <w:r>
              <w:rPr>
                <w:rFonts w:ascii="Courier New" w:cs="Courier New" w:eastAsia="Courier New" w:hAnsi="Courier New"/>
                <w:sz w:val="16"/>
                <w:szCs w:val="16"/>
                <w:color w:val="auto"/>
              </w:rPr>
              <w:t>income</w:t>
            </w:r>
          </w:p>
        </w:tc>
        <w:tc>
          <w:tcPr>
            <w:tcW w:w="292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8,412,650</w:t>
            </w:r>
          </w:p>
        </w:tc>
        <w:tc>
          <w:tcPr>
            <w:tcW w:w="1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16,356,334</w:t>
            </w:r>
          </w:p>
        </w:tc>
      </w:tr>
      <w:tr>
        <w:trPr>
          <w:trHeight w:val="188"/>
        </w:trPr>
        <w:tc>
          <w:tcPr>
            <w:tcW w:w="6260" w:type="dxa"/>
            <w:vAlign w:val="bottom"/>
          </w:tcPr>
          <w:p>
            <w:pPr>
              <w:ind w:left="880"/>
              <w:spacing w:after="0"/>
              <w:rPr>
                <w:sz w:val="20"/>
                <w:szCs w:val="20"/>
                <w:color w:val="auto"/>
              </w:rPr>
            </w:pPr>
            <w:r>
              <w:rPr>
                <w:rFonts w:ascii="Courier New" w:cs="Courier New" w:eastAsia="Courier New" w:hAnsi="Courier New"/>
                <w:sz w:val="16"/>
                <w:szCs w:val="16"/>
                <w:color w:val="auto"/>
              </w:rPr>
              <w:t>Deferred compensation</w:t>
            </w:r>
          </w:p>
        </w:tc>
        <w:tc>
          <w:tcPr>
            <w:tcW w:w="292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(2,044,609)</w:t>
            </w:r>
          </w:p>
        </w:tc>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rPr>
              <w:t>(2,735,761)</w:t>
            </w:r>
          </w:p>
        </w:tc>
      </w:tr>
      <w:tr>
        <w:trPr>
          <w:trHeight w:val="188"/>
        </w:trPr>
        <w:tc>
          <w:tcPr>
            <w:tcW w:w="6260" w:type="dxa"/>
            <w:vAlign w:val="bottom"/>
          </w:tcPr>
          <w:p>
            <w:pPr>
              <w:spacing w:after="0"/>
              <w:rPr>
                <w:sz w:val="16"/>
                <w:szCs w:val="16"/>
                <w:color w:val="auto"/>
              </w:rPr>
            </w:pPr>
          </w:p>
        </w:tc>
        <w:tc>
          <w:tcPr>
            <w:tcW w:w="292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6260" w:type="dxa"/>
            <w:vAlign w:val="bottom"/>
          </w:tcPr>
          <w:p>
            <w:pPr>
              <w:ind w:left="1360"/>
              <w:spacing w:after="0"/>
              <w:rPr>
                <w:sz w:val="20"/>
                <w:szCs w:val="20"/>
                <w:color w:val="auto"/>
              </w:rPr>
            </w:pPr>
            <w:r>
              <w:rPr>
                <w:rFonts w:ascii="Courier New" w:cs="Courier New" w:eastAsia="Courier New" w:hAnsi="Courier New"/>
                <w:sz w:val="16"/>
                <w:szCs w:val="16"/>
                <w:color w:val="auto"/>
              </w:rPr>
              <w:t>Total stockholders' equity</w:t>
            </w:r>
          </w:p>
        </w:tc>
        <w:tc>
          <w:tcPr>
            <w:tcW w:w="292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15,461,703</w:t>
            </w:r>
          </w:p>
        </w:tc>
        <w:tc>
          <w:tcPr>
            <w:tcW w:w="1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22,982,022</w:t>
            </w:r>
          </w:p>
        </w:tc>
      </w:tr>
      <w:tr>
        <w:trPr>
          <w:trHeight w:val="188"/>
        </w:trPr>
        <w:tc>
          <w:tcPr>
            <w:tcW w:w="6260" w:type="dxa"/>
            <w:vAlign w:val="bottom"/>
          </w:tcPr>
          <w:p>
            <w:pPr>
              <w:spacing w:after="0"/>
              <w:rPr>
                <w:sz w:val="16"/>
                <w:szCs w:val="16"/>
                <w:color w:val="auto"/>
              </w:rPr>
            </w:pPr>
          </w:p>
        </w:tc>
        <w:tc>
          <w:tcPr>
            <w:tcW w:w="292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c>
          <w:tcPr>
            <w:tcW w:w="1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6260" w:type="dxa"/>
            <w:vAlign w:val="bottom"/>
          </w:tcPr>
          <w:p>
            <w:pPr>
              <w:ind w:left="1360"/>
              <w:spacing w:after="0"/>
              <w:rPr>
                <w:sz w:val="20"/>
                <w:szCs w:val="20"/>
                <w:color w:val="auto"/>
              </w:rPr>
            </w:pPr>
            <w:r>
              <w:rPr>
                <w:rFonts w:ascii="Courier New" w:cs="Courier New" w:eastAsia="Courier New" w:hAnsi="Courier New"/>
                <w:sz w:val="16"/>
                <w:szCs w:val="16"/>
                <w:color w:val="auto"/>
              </w:rPr>
              <w:t>Total liabilities and stockholders'</w:t>
            </w:r>
          </w:p>
        </w:tc>
        <w:tc>
          <w:tcPr>
            <w:tcW w:w="29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88"/>
        </w:trPr>
        <w:tc>
          <w:tcPr>
            <w:tcW w:w="6260" w:type="dxa"/>
            <w:vAlign w:val="bottom"/>
          </w:tcPr>
          <w:p>
            <w:pPr>
              <w:ind w:left="1760"/>
              <w:spacing w:after="0"/>
              <w:rPr>
                <w:sz w:val="20"/>
                <w:szCs w:val="20"/>
                <w:color w:val="auto"/>
              </w:rPr>
            </w:pPr>
            <w:r>
              <w:rPr>
                <w:rFonts w:ascii="Courier New" w:cs="Courier New" w:eastAsia="Courier New" w:hAnsi="Courier New"/>
                <w:sz w:val="16"/>
                <w:szCs w:val="16"/>
                <w:color w:val="auto"/>
              </w:rPr>
              <w:t>equity</w:t>
            </w:r>
          </w:p>
        </w:tc>
        <w:tc>
          <w:tcPr>
            <w:tcW w:w="292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$21,506,661</w:t>
            </w:r>
          </w:p>
        </w:tc>
        <w:tc>
          <w:tcPr>
            <w:tcW w:w="1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$29,794,979</w:t>
            </w:r>
          </w:p>
        </w:tc>
      </w:tr>
      <w:tr>
        <w:trPr>
          <w:trHeight w:val="188"/>
        </w:trPr>
        <w:tc>
          <w:tcPr>
            <w:tcW w:w="6260" w:type="dxa"/>
            <w:vAlign w:val="bottom"/>
          </w:tcPr>
          <w:p>
            <w:pPr>
              <w:spacing w:after="0"/>
              <w:rPr>
                <w:sz w:val="16"/>
                <w:szCs w:val="16"/>
                <w:color w:val="auto"/>
              </w:rPr>
            </w:pPr>
          </w:p>
        </w:tc>
        <w:tc>
          <w:tcPr>
            <w:tcW w:w="292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c>
          <w:tcPr>
            <w:tcW w:w="1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condensed consolidated financial statements.</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1140"/>
          </w:cols>
          <w:pgMar w:left="240" w:top="680" w:right="519" w:bottom="1440" w:gutter="0" w:footer="0" w:header="0"/>
        </w:sectPr>
      </w:pPr>
    </w:p>
    <w:bookmarkStart w:id="2" w:name="page3"/>
    <w:bookmarkEnd w:id="2"/>
    <w:p>
      <w:pPr>
        <w:jc w:val="center"/>
        <w:ind w:right="3020"/>
        <w:spacing w:after="0"/>
        <w:rPr>
          <w:sz w:val="20"/>
          <w:szCs w:val="20"/>
          <w:color w:val="auto"/>
        </w:rPr>
      </w:pPr>
      <w:r>
        <w:rPr>
          <w:rFonts w:ascii="Courier New" w:cs="Courier New" w:eastAsia="Courier New" w:hAnsi="Courier New"/>
          <w:sz w:val="16"/>
          <w:szCs w:val="16"/>
          <w:color w:val="auto"/>
        </w:rPr>
        <w:t>STEMCELLS, INC.</w:t>
      </w:r>
    </w:p>
    <w:p>
      <w:pPr>
        <w:spacing w:after="0" w:line="7" w:lineRule="exact"/>
        <w:rPr>
          <w:sz w:val="20"/>
          <w:szCs w:val="20"/>
          <w:color w:val="auto"/>
        </w:rPr>
      </w:pPr>
    </w:p>
    <w:p>
      <w:pPr>
        <w:jc w:val="center"/>
        <w:ind w:right="3020"/>
        <w:spacing w:after="0"/>
        <w:rPr>
          <w:sz w:val="20"/>
          <w:szCs w:val="20"/>
          <w:color w:val="auto"/>
        </w:rPr>
      </w:pPr>
      <w:r>
        <w:rPr>
          <w:rFonts w:ascii="Courier New" w:cs="Courier New" w:eastAsia="Courier New" w:hAnsi="Courier New"/>
          <w:sz w:val="16"/>
          <w:szCs w:val="16"/>
          <w:color w:val="auto"/>
        </w:rPr>
        <w:t>CONDENSED CONSOLIDATED STATEMENTS OF OPERATIONS</w:t>
      </w:r>
    </w:p>
    <w:p>
      <w:pPr>
        <w:spacing w:after="0" w:line="7" w:lineRule="exact"/>
        <w:rPr>
          <w:sz w:val="20"/>
          <w:szCs w:val="20"/>
          <w:color w:val="auto"/>
        </w:rPr>
      </w:pPr>
    </w:p>
    <w:p>
      <w:pPr>
        <w:jc w:val="center"/>
        <w:ind w:right="3020"/>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20" w:type="dxa"/>
            <w:vAlign w:val="bottom"/>
          </w:tcPr>
          <w:p>
            <w:pPr>
              <w:spacing w:after="0"/>
              <w:rPr>
                <w:sz w:val="15"/>
                <w:szCs w:val="15"/>
                <w:color w:val="auto"/>
              </w:rPr>
            </w:pPr>
          </w:p>
        </w:tc>
        <w:tc>
          <w:tcPr>
            <w:tcW w:w="5220" w:type="dxa"/>
            <w:vAlign w:val="bottom"/>
            <w:gridSpan w:val="3"/>
          </w:tcPr>
          <w:p>
            <w:pPr>
              <w:jc w:val="right"/>
              <w:ind w:right="799"/>
              <w:spacing w:after="0"/>
              <w:rPr>
                <w:sz w:val="20"/>
                <w:szCs w:val="20"/>
                <w:color w:val="auto"/>
              </w:rPr>
            </w:pPr>
            <w:r>
              <w:rPr>
                <w:rFonts w:ascii="Courier New" w:cs="Courier New" w:eastAsia="Courier New" w:hAnsi="Courier New"/>
                <w:sz w:val="16"/>
                <w:szCs w:val="16"/>
                <w:color w:val="auto"/>
              </w:rPr>
              <w:t>THREE MONTHS ENDED</w:t>
            </w:r>
          </w:p>
        </w:tc>
      </w:tr>
      <w:tr>
        <w:trPr>
          <w:trHeight w:val="188"/>
        </w:trPr>
        <w:tc>
          <w:tcPr>
            <w:tcW w:w="57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MARCH 31,</w:t>
            </w:r>
          </w:p>
        </w:tc>
        <w:tc>
          <w:tcPr>
            <w:tcW w:w="1220" w:type="dxa"/>
            <w:vAlign w:val="bottom"/>
          </w:tcPr>
          <w:p>
            <w:pPr>
              <w:spacing w:after="0"/>
              <w:rPr>
                <w:sz w:val="16"/>
                <w:szCs w:val="16"/>
                <w:color w:val="auto"/>
              </w:rPr>
            </w:pPr>
          </w:p>
        </w:tc>
      </w:tr>
      <w:tr>
        <w:trPr>
          <w:trHeight w:val="376"/>
        </w:trPr>
        <w:tc>
          <w:tcPr>
            <w:tcW w:w="5720" w:type="dxa"/>
            <w:vAlign w:val="bottom"/>
          </w:tcPr>
          <w:p>
            <w:pPr>
              <w:spacing w:after="0"/>
              <w:rPr>
                <w:sz w:val="24"/>
                <w:szCs w:val="24"/>
                <w:color w:val="auto"/>
              </w:rPr>
            </w:pPr>
          </w:p>
        </w:tc>
        <w:tc>
          <w:tcPr>
            <w:tcW w:w="28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2001</w:t>
            </w:r>
          </w:p>
        </w:tc>
        <w:tc>
          <w:tcPr>
            <w:tcW w:w="1120" w:type="dxa"/>
            <w:vAlign w:val="bottom"/>
          </w:tcPr>
          <w:p>
            <w:pPr>
              <w:spacing w:after="0"/>
              <w:rPr>
                <w:sz w:val="24"/>
                <w:szCs w:val="24"/>
                <w:color w:val="auto"/>
              </w:rPr>
            </w:pPr>
          </w:p>
        </w:tc>
        <w:tc>
          <w:tcPr>
            <w:tcW w:w="12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2000</w:t>
            </w:r>
          </w:p>
        </w:tc>
      </w:tr>
      <w:tr>
        <w:trPr>
          <w:trHeight w:val="188"/>
        </w:trPr>
        <w:tc>
          <w:tcPr>
            <w:tcW w:w="5720" w:type="dxa"/>
            <w:vAlign w:val="bottom"/>
          </w:tcPr>
          <w:p>
            <w:pPr>
              <w:spacing w:after="0"/>
              <w:rPr>
                <w:sz w:val="16"/>
                <w:szCs w:val="16"/>
                <w:color w:val="auto"/>
              </w:rPr>
            </w:pPr>
          </w:p>
        </w:tc>
        <w:tc>
          <w:tcPr>
            <w:tcW w:w="28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spacing w:after="0"/>
              <w:rPr>
                <w:sz w:val="16"/>
                <w:szCs w:val="16"/>
                <w:color w:val="auto"/>
              </w:rPr>
            </w:pPr>
          </w:p>
        </w:tc>
        <w:tc>
          <w:tcPr>
            <w:tcW w:w="12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376"/>
        </w:trPr>
        <w:tc>
          <w:tcPr>
            <w:tcW w:w="5720" w:type="dxa"/>
            <w:vAlign w:val="bottom"/>
          </w:tcPr>
          <w:p>
            <w:pPr>
              <w:spacing w:after="0"/>
              <w:rPr>
                <w:sz w:val="20"/>
                <w:szCs w:val="20"/>
                <w:color w:val="auto"/>
              </w:rPr>
            </w:pPr>
            <w:r>
              <w:rPr>
                <w:rFonts w:ascii="Courier New" w:cs="Courier New" w:eastAsia="Courier New" w:hAnsi="Courier New"/>
                <w:sz w:val="16"/>
                <w:szCs w:val="16"/>
                <w:color w:val="auto"/>
              </w:rPr>
              <w:t>Revenue from grants</w:t>
            </w:r>
          </w:p>
        </w:tc>
        <w:tc>
          <w:tcPr>
            <w:tcW w:w="2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$100,000</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572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2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8"/>
        </w:trPr>
        <w:tc>
          <w:tcPr>
            <w:tcW w:w="5720" w:type="dxa"/>
            <w:vAlign w:val="bottom"/>
          </w:tcPr>
          <w:p>
            <w:pPr>
              <w:ind w:left="480"/>
              <w:spacing w:after="0"/>
              <w:rPr>
                <w:sz w:val="20"/>
                <w:szCs w:val="20"/>
                <w:color w:val="auto"/>
              </w:rPr>
            </w:pPr>
            <w:r>
              <w:rPr>
                <w:rFonts w:ascii="Courier New" w:cs="Courier New" w:eastAsia="Courier New" w:hAnsi="Courier New"/>
                <w:sz w:val="16"/>
                <w:szCs w:val="16"/>
                <w:color w:val="auto"/>
              </w:rPr>
              <w:t>Research and development</w:t>
            </w:r>
          </w:p>
        </w:tc>
        <w:tc>
          <w:tcPr>
            <w:tcW w:w="2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1,644,257</w:t>
            </w:r>
          </w:p>
        </w:tc>
        <w:tc>
          <w:tcPr>
            <w:tcW w:w="112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906,632</w:t>
            </w:r>
          </w:p>
        </w:tc>
      </w:tr>
      <w:tr>
        <w:trPr>
          <w:trHeight w:val="188"/>
        </w:trPr>
        <w:tc>
          <w:tcPr>
            <w:tcW w:w="5720" w:type="dxa"/>
            <w:vAlign w:val="bottom"/>
          </w:tcPr>
          <w:p>
            <w:pPr>
              <w:ind w:left="480"/>
              <w:spacing w:after="0"/>
              <w:rPr>
                <w:sz w:val="20"/>
                <w:szCs w:val="20"/>
                <w:color w:val="auto"/>
              </w:rPr>
            </w:pPr>
            <w:r>
              <w:rPr>
                <w:rFonts w:ascii="Courier New" w:cs="Courier New" w:eastAsia="Courier New" w:hAnsi="Courier New"/>
                <w:sz w:val="16"/>
                <w:szCs w:val="16"/>
                <w:color w:val="auto"/>
              </w:rPr>
              <w:t>General and administrative</w:t>
            </w:r>
          </w:p>
        </w:tc>
        <w:tc>
          <w:tcPr>
            <w:tcW w:w="2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996,862</w:t>
            </w:r>
          </w:p>
        </w:tc>
        <w:tc>
          <w:tcPr>
            <w:tcW w:w="112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657,714</w:t>
            </w:r>
          </w:p>
        </w:tc>
      </w:tr>
      <w:tr>
        <w:trPr>
          <w:trHeight w:val="188"/>
        </w:trPr>
        <w:tc>
          <w:tcPr>
            <w:tcW w:w="5720" w:type="dxa"/>
            <w:vAlign w:val="bottom"/>
          </w:tcPr>
          <w:p>
            <w:pPr>
              <w:ind w:left="480"/>
              <w:spacing w:after="0"/>
              <w:rPr>
                <w:sz w:val="20"/>
                <w:szCs w:val="20"/>
                <w:color w:val="auto"/>
              </w:rPr>
            </w:pPr>
            <w:r>
              <w:rPr>
                <w:rFonts w:ascii="Courier New" w:cs="Courier New" w:eastAsia="Courier New" w:hAnsi="Courier New"/>
                <w:sz w:val="16"/>
                <w:szCs w:val="16"/>
                <w:color w:val="auto"/>
              </w:rPr>
              <w:t>Wind-down expenses</w:t>
            </w:r>
          </w:p>
        </w:tc>
        <w:tc>
          <w:tcPr>
            <w:tcW w:w="2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234,386</w:t>
            </w:r>
          </w:p>
        </w:tc>
      </w:tr>
      <w:tr>
        <w:trPr>
          <w:trHeight w:val="188"/>
        </w:trPr>
        <w:tc>
          <w:tcPr>
            <w:tcW w:w="5720" w:type="dxa"/>
            <w:vAlign w:val="bottom"/>
          </w:tcPr>
          <w:p>
            <w:pPr>
              <w:spacing w:after="0"/>
              <w:rPr>
                <w:sz w:val="16"/>
                <w:szCs w:val="16"/>
                <w:color w:val="auto"/>
              </w:rPr>
            </w:pPr>
          </w:p>
        </w:tc>
        <w:tc>
          <w:tcPr>
            <w:tcW w:w="2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5720" w:type="dxa"/>
            <w:vAlign w:val="bottom"/>
          </w:tcPr>
          <w:p>
            <w:pPr>
              <w:spacing w:after="0"/>
              <w:rPr>
                <w:sz w:val="20"/>
                <w:szCs w:val="20"/>
                <w:color w:val="auto"/>
              </w:rPr>
            </w:pPr>
            <w:r>
              <w:rPr>
                <w:rFonts w:ascii="Courier New" w:cs="Courier New" w:eastAsia="Courier New" w:hAnsi="Courier New"/>
                <w:sz w:val="16"/>
                <w:szCs w:val="16"/>
                <w:color w:val="auto"/>
              </w:rPr>
              <w:t>Loss from operations</w:t>
            </w:r>
          </w:p>
        </w:tc>
        <w:tc>
          <w:tcPr>
            <w:tcW w:w="2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(2,541,119)</w:t>
            </w:r>
          </w:p>
        </w:tc>
        <w:tc>
          <w:tcPr>
            <w:tcW w:w="1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(1,798,732)</w:t>
            </w:r>
          </w:p>
        </w:tc>
      </w:tr>
      <w:tr>
        <w:trPr>
          <w:trHeight w:val="376"/>
        </w:trPr>
        <w:tc>
          <w:tcPr>
            <w:tcW w:w="572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2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8"/>
        </w:trPr>
        <w:tc>
          <w:tcPr>
            <w:tcW w:w="5720" w:type="dxa"/>
            <w:vAlign w:val="bottom"/>
          </w:tcPr>
          <w:p>
            <w:pPr>
              <w:ind w:left="480"/>
              <w:spacing w:after="0"/>
              <w:rPr>
                <w:sz w:val="20"/>
                <w:szCs w:val="20"/>
                <w:color w:val="auto"/>
              </w:rPr>
            </w:pPr>
            <w:r>
              <w:rPr>
                <w:rFonts w:ascii="Courier New" w:cs="Courier New" w:eastAsia="Courier New" w:hAnsi="Courier New"/>
                <w:sz w:val="16"/>
                <w:szCs w:val="16"/>
                <w:color w:val="auto"/>
              </w:rPr>
              <w:t>Investment income</w:t>
            </w:r>
          </w:p>
        </w:tc>
        <w:tc>
          <w:tcPr>
            <w:tcW w:w="2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79,041</w:t>
            </w:r>
          </w:p>
        </w:tc>
        <w:tc>
          <w:tcPr>
            <w:tcW w:w="112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73,332</w:t>
            </w:r>
          </w:p>
        </w:tc>
      </w:tr>
      <w:tr>
        <w:trPr>
          <w:trHeight w:val="188"/>
        </w:trPr>
        <w:tc>
          <w:tcPr>
            <w:tcW w:w="5720" w:type="dxa"/>
            <w:vAlign w:val="bottom"/>
          </w:tcPr>
          <w:p>
            <w:pPr>
              <w:ind w:left="480"/>
              <w:spacing w:after="0"/>
              <w:rPr>
                <w:sz w:val="20"/>
                <w:szCs w:val="20"/>
                <w:color w:val="auto"/>
              </w:rPr>
            </w:pPr>
            <w:r>
              <w:rPr>
                <w:rFonts w:ascii="Courier New" w:cs="Courier New" w:eastAsia="Courier New" w:hAnsi="Courier New"/>
                <w:sz w:val="16"/>
                <w:szCs w:val="16"/>
                <w:color w:val="auto"/>
              </w:rPr>
              <w:t>Interest income</w:t>
            </w:r>
          </w:p>
        </w:tc>
        <w:tc>
          <w:tcPr>
            <w:tcW w:w="2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(68,858)</w:t>
            </w:r>
          </w:p>
        </w:tc>
      </w:tr>
      <w:tr>
        <w:trPr>
          <w:trHeight w:val="188"/>
        </w:trPr>
        <w:tc>
          <w:tcPr>
            <w:tcW w:w="5720" w:type="dxa"/>
            <w:vAlign w:val="bottom"/>
          </w:tcPr>
          <w:p>
            <w:pPr>
              <w:ind w:left="480"/>
              <w:spacing w:after="0"/>
              <w:rPr>
                <w:sz w:val="20"/>
                <w:szCs w:val="20"/>
                <w:color w:val="auto"/>
              </w:rPr>
            </w:pPr>
            <w:r>
              <w:rPr>
                <w:rFonts w:ascii="Courier New" w:cs="Courier New" w:eastAsia="Courier New" w:hAnsi="Courier New"/>
                <w:sz w:val="16"/>
                <w:szCs w:val="16"/>
                <w:color w:val="auto"/>
              </w:rPr>
              <w:t>Gain on sale of investments</w:t>
            </w:r>
          </w:p>
        </w:tc>
        <w:tc>
          <w:tcPr>
            <w:tcW w:w="2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2,550,230</w:t>
            </w:r>
          </w:p>
        </w:tc>
        <w:tc>
          <w:tcPr>
            <w:tcW w:w="112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720" w:type="dxa"/>
            <w:vAlign w:val="bottom"/>
          </w:tcPr>
          <w:p>
            <w:pPr>
              <w:ind w:left="480"/>
              <w:spacing w:after="0"/>
              <w:rPr>
                <w:sz w:val="20"/>
                <w:szCs w:val="20"/>
                <w:color w:val="auto"/>
              </w:rPr>
            </w:pPr>
            <w:r>
              <w:rPr>
                <w:rFonts w:ascii="Courier New" w:cs="Courier New" w:eastAsia="Courier New" w:hAnsi="Courier New"/>
                <w:sz w:val="16"/>
                <w:szCs w:val="16"/>
                <w:color w:val="auto"/>
              </w:rPr>
              <w:t>Other income</w:t>
            </w:r>
          </w:p>
        </w:tc>
        <w:tc>
          <w:tcPr>
            <w:tcW w:w="2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180,389</w:t>
            </w:r>
          </w:p>
        </w:tc>
        <w:tc>
          <w:tcPr>
            <w:tcW w:w="112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720" w:type="dxa"/>
            <w:vAlign w:val="bottom"/>
          </w:tcPr>
          <w:p>
            <w:pPr>
              <w:spacing w:after="0"/>
              <w:rPr>
                <w:sz w:val="16"/>
                <w:szCs w:val="16"/>
                <w:color w:val="auto"/>
              </w:rPr>
            </w:pPr>
          </w:p>
        </w:tc>
        <w:tc>
          <w:tcPr>
            <w:tcW w:w="2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23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5720" w:type="dxa"/>
            <w:vAlign w:val="bottom"/>
          </w:tcPr>
          <w:p>
            <w:pPr>
              <w:spacing w:after="0"/>
              <w:rPr>
                <w:sz w:val="20"/>
                <w:szCs w:val="20"/>
                <w:color w:val="auto"/>
              </w:rPr>
            </w:pPr>
            <w:r>
              <w:rPr>
                <w:rFonts w:ascii="Courier New" w:cs="Courier New" w:eastAsia="Courier New" w:hAnsi="Courier New"/>
                <w:sz w:val="16"/>
                <w:szCs w:val="16"/>
                <w:color w:val="auto"/>
              </w:rPr>
              <w:t>Total other income, net</w:t>
            </w:r>
          </w:p>
        </w:tc>
        <w:tc>
          <w:tcPr>
            <w:tcW w:w="2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2,809,660</w:t>
            </w:r>
          </w:p>
        </w:tc>
        <w:tc>
          <w:tcPr>
            <w:tcW w:w="1120" w:type="dxa"/>
            <w:vAlign w:val="bottom"/>
          </w:tcPr>
          <w:p>
            <w:pPr>
              <w:spacing w:after="0"/>
              <w:rPr>
                <w:sz w:val="24"/>
                <w:szCs w:val="24"/>
                <w:color w:val="auto"/>
              </w:rPr>
            </w:pP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4,474</w:t>
            </w:r>
          </w:p>
        </w:tc>
      </w:tr>
      <w:tr>
        <w:trPr>
          <w:trHeight w:val="188"/>
        </w:trPr>
        <w:tc>
          <w:tcPr>
            <w:tcW w:w="5720" w:type="dxa"/>
            <w:vAlign w:val="bottom"/>
          </w:tcPr>
          <w:p>
            <w:pPr>
              <w:spacing w:after="0"/>
              <w:rPr>
                <w:sz w:val="16"/>
                <w:szCs w:val="16"/>
                <w:color w:val="auto"/>
              </w:rPr>
            </w:pPr>
          </w:p>
        </w:tc>
        <w:tc>
          <w:tcPr>
            <w:tcW w:w="2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76"/>
        </w:trPr>
        <w:tc>
          <w:tcPr>
            <w:tcW w:w="572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2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$268,541</w:t>
            </w:r>
          </w:p>
        </w:tc>
        <w:tc>
          <w:tcPr>
            <w:tcW w:w="1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$(1,794,258)</w:t>
            </w:r>
          </w:p>
        </w:tc>
      </w:tr>
      <w:tr>
        <w:trPr>
          <w:trHeight w:val="188"/>
        </w:trPr>
        <w:tc>
          <w:tcPr>
            <w:tcW w:w="5720" w:type="dxa"/>
            <w:vAlign w:val="bottom"/>
          </w:tcPr>
          <w:p>
            <w:pPr>
              <w:spacing w:after="0"/>
              <w:rPr>
                <w:sz w:val="16"/>
                <w:szCs w:val="16"/>
                <w:color w:val="auto"/>
              </w:rPr>
            </w:pPr>
          </w:p>
        </w:tc>
        <w:tc>
          <w:tcPr>
            <w:tcW w:w="2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5720" w:type="dxa"/>
            <w:vAlign w:val="bottom"/>
          </w:tcPr>
          <w:p>
            <w:pPr>
              <w:spacing w:after="0"/>
              <w:rPr>
                <w:sz w:val="20"/>
                <w:szCs w:val="20"/>
                <w:color w:val="auto"/>
              </w:rPr>
            </w:pPr>
            <w:r>
              <w:rPr>
                <w:rFonts w:ascii="Courier New" w:cs="Courier New" w:eastAsia="Courier New" w:hAnsi="Courier New"/>
                <w:sz w:val="16"/>
                <w:szCs w:val="16"/>
                <w:color w:val="auto"/>
              </w:rPr>
              <w:t>Basic Earnings Per Share</w:t>
            </w:r>
          </w:p>
        </w:tc>
        <w:tc>
          <w:tcPr>
            <w:tcW w:w="2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8"/>
        </w:trPr>
        <w:tc>
          <w:tcPr>
            <w:tcW w:w="5720" w:type="dxa"/>
            <w:vAlign w:val="bottom"/>
          </w:tcPr>
          <w:p>
            <w:pPr>
              <w:ind w:left="480"/>
              <w:spacing w:after="0"/>
              <w:rPr>
                <w:sz w:val="20"/>
                <w:szCs w:val="20"/>
                <w:color w:val="auto"/>
              </w:rPr>
            </w:pPr>
            <w:r>
              <w:rPr>
                <w:rFonts w:ascii="Courier New" w:cs="Courier New" w:eastAsia="Courier New" w:hAnsi="Courier New"/>
                <w:sz w:val="16"/>
                <w:szCs w:val="16"/>
                <w:color w:val="auto"/>
              </w:rPr>
              <w:t>Net income (loss) per share</w:t>
            </w:r>
          </w:p>
        </w:tc>
        <w:tc>
          <w:tcPr>
            <w:tcW w:w="2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$0.01</w:t>
            </w:r>
          </w:p>
        </w:tc>
        <w:tc>
          <w:tcPr>
            <w:tcW w:w="1120" w:type="dxa"/>
            <w:vAlign w:val="bottom"/>
          </w:tcPr>
          <w:p>
            <w:pPr>
              <w:spacing w:after="0"/>
              <w:rPr>
                <w:sz w:val="16"/>
                <w:szCs w:val="16"/>
                <w:color w:val="auto"/>
              </w:rPr>
            </w:pPr>
          </w:p>
        </w:tc>
        <w:tc>
          <w:tcPr>
            <w:tcW w:w="12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$(0.09)</w:t>
            </w:r>
          </w:p>
        </w:tc>
      </w:tr>
      <w:tr>
        <w:trPr>
          <w:trHeight w:val="188"/>
        </w:trPr>
        <w:tc>
          <w:tcPr>
            <w:tcW w:w="5720" w:type="dxa"/>
            <w:vAlign w:val="bottom"/>
          </w:tcPr>
          <w:p>
            <w:pPr>
              <w:ind w:left="480"/>
              <w:spacing w:after="0"/>
              <w:rPr>
                <w:sz w:val="20"/>
                <w:szCs w:val="20"/>
                <w:color w:val="auto"/>
              </w:rPr>
            </w:pPr>
            <w:r>
              <w:rPr>
                <w:rFonts w:ascii="Courier New" w:cs="Courier New" w:eastAsia="Courier New" w:hAnsi="Courier New"/>
                <w:sz w:val="16"/>
                <w:szCs w:val="16"/>
                <w:color w:val="auto"/>
              </w:rPr>
              <w:t>Shares - basic net income (loss) per share</w:t>
            </w:r>
          </w:p>
        </w:tc>
        <w:tc>
          <w:tcPr>
            <w:tcW w:w="2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20,989,127</w:t>
            </w:r>
          </w:p>
        </w:tc>
        <w:tc>
          <w:tcPr>
            <w:tcW w:w="1120" w:type="dxa"/>
            <w:vAlign w:val="bottom"/>
          </w:tcPr>
          <w:p>
            <w:pPr>
              <w:spacing w:after="0"/>
              <w:rPr>
                <w:sz w:val="16"/>
                <w:szCs w:val="16"/>
                <w:color w:val="auto"/>
              </w:rPr>
            </w:pPr>
          </w:p>
        </w:tc>
        <w:tc>
          <w:tcPr>
            <w:tcW w:w="12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19,329,517</w:t>
            </w:r>
          </w:p>
        </w:tc>
      </w:tr>
      <w:tr>
        <w:trPr>
          <w:trHeight w:val="188"/>
        </w:trPr>
        <w:tc>
          <w:tcPr>
            <w:tcW w:w="5720" w:type="dxa"/>
            <w:vAlign w:val="bottom"/>
          </w:tcPr>
          <w:p>
            <w:pPr>
              <w:spacing w:after="0"/>
              <w:rPr>
                <w:sz w:val="20"/>
                <w:szCs w:val="20"/>
                <w:color w:val="auto"/>
              </w:rPr>
            </w:pPr>
            <w:r>
              <w:rPr>
                <w:rFonts w:ascii="Courier New" w:cs="Courier New" w:eastAsia="Courier New" w:hAnsi="Courier New"/>
                <w:sz w:val="16"/>
                <w:szCs w:val="16"/>
                <w:color w:val="auto"/>
              </w:rPr>
              <w:t>Diluted Earnings Per Share</w:t>
            </w:r>
          </w:p>
        </w:tc>
        <w:tc>
          <w:tcPr>
            <w:tcW w:w="28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8"/>
        </w:trPr>
        <w:tc>
          <w:tcPr>
            <w:tcW w:w="5720" w:type="dxa"/>
            <w:vAlign w:val="bottom"/>
          </w:tcPr>
          <w:p>
            <w:pPr>
              <w:ind w:left="480"/>
              <w:spacing w:after="0"/>
              <w:rPr>
                <w:sz w:val="20"/>
                <w:szCs w:val="20"/>
                <w:color w:val="auto"/>
              </w:rPr>
            </w:pPr>
            <w:r>
              <w:rPr>
                <w:rFonts w:ascii="Courier New" w:cs="Courier New" w:eastAsia="Courier New" w:hAnsi="Courier New"/>
                <w:sz w:val="16"/>
                <w:szCs w:val="16"/>
                <w:color w:val="auto"/>
              </w:rPr>
              <w:t>Net income (loss) per share</w:t>
            </w:r>
          </w:p>
        </w:tc>
        <w:tc>
          <w:tcPr>
            <w:tcW w:w="2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$0.01</w:t>
            </w:r>
          </w:p>
        </w:tc>
        <w:tc>
          <w:tcPr>
            <w:tcW w:w="1120" w:type="dxa"/>
            <w:vAlign w:val="bottom"/>
          </w:tcPr>
          <w:p>
            <w:pPr>
              <w:spacing w:after="0"/>
              <w:rPr>
                <w:sz w:val="16"/>
                <w:szCs w:val="16"/>
                <w:color w:val="auto"/>
              </w:rPr>
            </w:pPr>
          </w:p>
        </w:tc>
        <w:tc>
          <w:tcPr>
            <w:tcW w:w="12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$(0.09)</w:t>
            </w:r>
          </w:p>
        </w:tc>
      </w:tr>
      <w:tr>
        <w:trPr>
          <w:trHeight w:val="188"/>
        </w:trPr>
        <w:tc>
          <w:tcPr>
            <w:tcW w:w="5720" w:type="dxa"/>
            <w:vAlign w:val="bottom"/>
          </w:tcPr>
          <w:p>
            <w:pPr>
              <w:ind w:left="480"/>
              <w:spacing w:after="0"/>
              <w:rPr>
                <w:sz w:val="20"/>
                <w:szCs w:val="20"/>
                <w:color w:val="auto"/>
              </w:rPr>
            </w:pPr>
            <w:r>
              <w:rPr>
                <w:rFonts w:ascii="Courier New" w:cs="Courier New" w:eastAsia="Courier New" w:hAnsi="Courier New"/>
                <w:sz w:val="16"/>
                <w:szCs w:val="16"/>
                <w:color w:val="auto"/>
              </w:rPr>
              <w:t>Shares - diluted income per share</w:t>
            </w:r>
          </w:p>
        </w:tc>
        <w:tc>
          <w:tcPr>
            <w:tcW w:w="2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22,405,358</w:t>
            </w:r>
          </w:p>
        </w:tc>
        <w:tc>
          <w:tcPr>
            <w:tcW w:w="1120" w:type="dxa"/>
            <w:vAlign w:val="bottom"/>
          </w:tcPr>
          <w:p>
            <w:pPr>
              <w:spacing w:after="0"/>
              <w:rPr>
                <w:sz w:val="16"/>
                <w:szCs w:val="16"/>
                <w:color w:val="auto"/>
              </w:rPr>
            </w:pPr>
          </w:p>
        </w:tc>
        <w:tc>
          <w:tcPr>
            <w:tcW w:w="12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19,329,517</w:t>
            </w:r>
          </w:p>
        </w:tc>
      </w:tr>
    </w:tbl>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condensed consolidated financial statements.</w:t>
      </w:r>
    </w:p>
    <w:p>
      <w:pPr>
        <w:spacing w:after="0" w:line="38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940"/>
          </w:cols>
          <w:pgMar w:left="240" w:top="1432" w:right="719" w:bottom="1440" w:gutter="0" w:footer="0" w:header="0"/>
        </w:sectPr>
      </w:pPr>
    </w:p>
    <w:bookmarkStart w:id="3" w:name="page4"/>
    <w:bookmarkEnd w:id="3"/>
    <w:p>
      <w:pPr>
        <w:ind w:left="3220"/>
        <w:spacing w:after="0"/>
        <w:rPr>
          <w:sz w:val="20"/>
          <w:szCs w:val="20"/>
          <w:color w:val="auto"/>
        </w:rPr>
      </w:pPr>
      <w:r>
        <w:rPr>
          <w:rFonts w:ascii="Courier New" w:cs="Courier New" w:eastAsia="Courier New" w:hAnsi="Courier New"/>
          <w:sz w:val="16"/>
          <w:szCs w:val="16"/>
          <w:color w:val="auto"/>
        </w:rPr>
        <w:t>STEMCELLS, INC.</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CONDENSED STATEMENTS OF CASH FLOWS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00" w:type="dxa"/>
            <w:vAlign w:val="bottom"/>
          </w:tcPr>
          <w:p>
            <w:pPr>
              <w:ind w:left="3420"/>
              <w:spacing w:after="0"/>
              <w:rPr>
                <w:sz w:val="20"/>
                <w:szCs w:val="20"/>
                <w:color w:val="auto"/>
              </w:rPr>
            </w:pPr>
            <w:r>
              <w:rPr>
                <w:rFonts w:ascii="Courier New" w:cs="Courier New" w:eastAsia="Courier New" w:hAnsi="Courier New"/>
                <w:sz w:val="16"/>
                <w:szCs w:val="16"/>
                <w:color w:val="auto"/>
              </w:rPr>
              <w:t>(unaudited)</w:t>
            </w:r>
          </w:p>
        </w:tc>
        <w:tc>
          <w:tcPr>
            <w:tcW w:w="240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752"/>
        </w:trPr>
        <w:tc>
          <w:tcPr>
            <w:tcW w:w="6200" w:type="dxa"/>
            <w:vAlign w:val="bottom"/>
          </w:tcPr>
          <w:p>
            <w:pPr>
              <w:spacing w:after="0"/>
              <w:rPr>
                <w:sz w:val="24"/>
                <w:szCs w:val="24"/>
                <w:color w:val="auto"/>
              </w:rPr>
            </w:pPr>
          </w:p>
        </w:tc>
        <w:tc>
          <w:tcPr>
            <w:tcW w:w="4740" w:type="dxa"/>
            <w:vAlign w:val="bottom"/>
            <w:gridSpan w:val="2"/>
          </w:tcPr>
          <w:p>
            <w:pPr>
              <w:jc w:val="right"/>
              <w:ind w:right="799"/>
              <w:spacing w:after="0"/>
              <w:rPr>
                <w:sz w:val="20"/>
                <w:szCs w:val="20"/>
                <w:color w:val="auto"/>
              </w:rPr>
            </w:pPr>
            <w:r>
              <w:rPr>
                <w:rFonts w:ascii="Courier New" w:cs="Courier New" w:eastAsia="Courier New" w:hAnsi="Courier New"/>
                <w:sz w:val="16"/>
                <w:szCs w:val="16"/>
                <w:color w:val="auto"/>
              </w:rPr>
              <w:t>THREE MONTHS ENDED</w:t>
            </w:r>
          </w:p>
        </w:tc>
      </w:tr>
      <w:tr>
        <w:trPr>
          <w:trHeight w:val="188"/>
        </w:trPr>
        <w:tc>
          <w:tcPr>
            <w:tcW w:w="62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340" w:type="dxa"/>
            <w:vAlign w:val="bottom"/>
          </w:tcPr>
          <w:p>
            <w:pPr>
              <w:jc w:val="right"/>
              <w:ind w:right="1179"/>
              <w:spacing w:after="0"/>
              <w:rPr>
                <w:sz w:val="20"/>
                <w:szCs w:val="20"/>
                <w:color w:val="auto"/>
              </w:rPr>
            </w:pPr>
            <w:r>
              <w:rPr>
                <w:rFonts w:ascii="Courier New" w:cs="Courier New" w:eastAsia="Courier New" w:hAnsi="Courier New"/>
                <w:sz w:val="16"/>
                <w:szCs w:val="16"/>
                <w:color w:val="auto"/>
              </w:rPr>
              <w:t>MARCH 31,</w:t>
            </w:r>
          </w:p>
        </w:tc>
      </w:tr>
      <w:tr>
        <w:trPr>
          <w:trHeight w:val="188"/>
        </w:trPr>
        <w:tc>
          <w:tcPr>
            <w:tcW w:w="6200" w:type="dxa"/>
            <w:vAlign w:val="bottom"/>
          </w:tcPr>
          <w:p>
            <w:pPr>
              <w:spacing w:after="0"/>
              <w:rPr>
                <w:sz w:val="16"/>
                <w:szCs w:val="16"/>
                <w:color w:val="auto"/>
              </w:rPr>
            </w:pPr>
          </w:p>
        </w:tc>
        <w:tc>
          <w:tcPr>
            <w:tcW w:w="2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2001</w:t>
            </w:r>
          </w:p>
        </w:tc>
        <w:tc>
          <w:tcPr>
            <w:tcW w:w="2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2000</w:t>
            </w:r>
          </w:p>
        </w:tc>
      </w:tr>
      <w:tr>
        <w:trPr>
          <w:trHeight w:val="188"/>
        </w:trPr>
        <w:tc>
          <w:tcPr>
            <w:tcW w:w="6200" w:type="dxa"/>
            <w:vAlign w:val="bottom"/>
          </w:tcPr>
          <w:p>
            <w:pPr>
              <w:spacing w:after="0"/>
              <w:rPr>
                <w:sz w:val="16"/>
                <w:szCs w:val="16"/>
                <w:color w:val="auto"/>
              </w:rPr>
            </w:pPr>
          </w:p>
        </w:tc>
        <w:tc>
          <w:tcPr>
            <w:tcW w:w="2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2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376"/>
        </w:trPr>
        <w:tc>
          <w:tcPr>
            <w:tcW w:w="620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240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188"/>
        </w:trPr>
        <w:tc>
          <w:tcPr>
            <w:tcW w:w="6200" w:type="dxa"/>
            <w:vAlign w:val="bottom"/>
          </w:tcPr>
          <w:p>
            <w:pPr>
              <w:ind w:left="480"/>
              <w:spacing w:after="0"/>
              <w:rPr>
                <w:sz w:val="20"/>
                <w:szCs w:val="20"/>
                <w:color w:val="auto"/>
              </w:rPr>
            </w:pPr>
            <w:r>
              <w:rPr>
                <w:rFonts w:ascii="Courier New" w:cs="Courier New" w:eastAsia="Courier New" w:hAnsi="Courier New"/>
                <w:sz w:val="16"/>
                <w:szCs w:val="16"/>
                <w:color w:val="auto"/>
              </w:rPr>
              <w:t>Net income (loss</w:t>
            </w:r>
          </w:p>
        </w:tc>
        <w:tc>
          <w:tcPr>
            <w:tcW w:w="24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$268,541</w:t>
            </w:r>
          </w:p>
        </w:tc>
        <w:tc>
          <w:tcPr>
            <w:tcW w:w="2340" w:type="dxa"/>
            <w:vAlign w:val="bottom"/>
          </w:tcPr>
          <w:p>
            <w:pPr>
              <w:jc w:val="right"/>
              <w:spacing w:after="0"/>
              <w:rPr>
                <w:sz w:val="20"/>
                <w:szCs w:val="20"/>
                <w:color w:val="auto"/>
              </w:rPr>
            </w:pPr>
            <w:r>
              <w:rPr>
                <w:rFonts w:ascii="Courier New" w:cs="Courier New" w:eastAsia="Courier New" w:hAnsi="Courier New"/>
                <w:sz w:val="16"/>
                <w:szCs w:val="16"/>
                <w:color w:val="auto"/>
              </w:rPr>
              <w:t>$(1,794,258)</w:t>
            </w:r>
          </w:p>
        </w:tc>
      </w:tr>
      <w:tr>
        <w:trPr>
          <w:trHeight w:val="188"/>
        </w:trPr>
        <w:tc>
          <w:tcPr>
            <w:tcW w:w="6200" w:type="dxa"/>
            <w:vAlign w:val="bottom"/>
          </w:tcPr>
          <w:p>
            <w:pPr>
              <w:ind w:left="480"/>
              <w:spacing w:after="0"/>
              <w:rPr>
                <w:sz w:val="20"/>
                <w:szCs w:val="20"/>
                <w:color w:val="auto"/>
              </w:rPr>
            </w:pPr>
            <w:r>
              <w:rPr>
                <w:rFonts w:ascii="Courier New" w:cs="Courier New" w:eastAsia="Courier New" w:hAnsi="Courier New"/>
                <w:sz w:val="16"/>
                <w:szCs w:val="16"/>
                <w:color w:val="auto"/>
              </w:rPr>
              <w:t>Adjustments to reconcile net income (loss) to net</w:t>
            </w:r>
          </w:p>
        </w:tc>
        <w:tc>
          <w:tcPr>
            <w:tcW w:w="2400" w:type="dxa"/>
            <w:vAlign w:val="bottom"/>
          </w:tcPr>
          <w:p>
            <w:pPr>
              <w:spacing w:after="0"/>
              <w:rPr>
                <w:sz w:val="16"/>
                <w:szCs w:val="16"/>
                <w:color w:val="auto"/>
              </w:rPr>
            </w:pPr>
          </w:p>
        </w:tc>
        <w:tc>
          <w:tcPr>
            <w:tcW w:w="2340" w:type="dxa"/>
            <w:vAlign w:val="bottom"/>
          </w:tcPr>
          <w:p>
            <w:pPr>
              <w:spacing w:after="0"/>
              <w:rPr>
                <w:sz w:val="16"/>
                <w:szCs w:val="16"/>
                <w:color w:val="auto"/>
              </w:rPr>
            </w:pPr>
          </w:p>
        </w:tc>
      </w:tr>
      <w:tr>
        <w:trPr>
          <w:trHeight w:val="188"/>
        </w:trPr>
        <w:tc>
          <w:tcPr>
            <w:tcW w:w="6200" w:type="dxa"/>
            <w:vAlign w:val="bottom"/>
          </w:tcPr>
          <w:p>
            <w:pPr>
              <w:ind w:left="880"/>
              <w:spacing w:after="0"/>
              <w:rPr>
                <w:sz w:val="20"/>
                <w:szCs w:val="20"/>
                <w:color w:val="auto"/>
              </w:rPr>
            </w:pPr>
            <w:r>
              <w:rPr>
                <w:rFonts w:ascii="Courier New" w:cs="Courier New" w:eastAsia="Courier New" w:hAnsi="Courier New"/>
                <w:sz w:val="16"/>
                <w:szCs w:val="16"/>
                <w:color w:val="auto"/>
              </w:rPr>
              <w:t>cash used for operating activities:</w:t>
            </w:r>
          </w:p>
        </w:tc>
        <w:tc>
          <w:tcPr>
            <w:tcW w:w="2400" w:type="dxa"/>
            <w:vAlign w:val="bottom"/>
          </w:tcPr>
          <w:p>
            <w:pPr>
              <w:spacing w:after="0"/>
              <w:rPr>
                <w:sz w:val="16"/>
                <w:szCs w:val="16"/>
                <w:color w:val="auto"/>
              </w:rPr>
            </w:pPr>
          </w:p>
        </w:tc>
        <w:tc>
          <w:tcPr>
            <w:tcW w:w="2340" w:type="dxa"/>
            <w:vAlign w:val="bottom"/>
          </w:tcPr>
          <w:p>
            <w:pPr>
              <w:spacing w:after="0"/>
              <w:rPr>
                <w:sz w:val="16"/>
                <w:szCs w:val="16"/>
                <w:color w:val="auto"/>
              </w:rPr>
            </w:pPr>
          </w:p>
        </w:tc>
      </w:tr>
      <w:tr>
        <w:trPr>
          <w:trHeight w:val="188"/>
        </w:trPr>
        <w:tc>
          <w:tcPr>
            <w:tcW w:w="6200" w:type="dxa"/>
            <w:vAlign w:val="bottom"/>
          </w:tcPr>
          <w:p>
            <w:pPr>
              <w:ind w:left="880"/>
              <w:spacing w:after="0"/>
              <w:rPr>
                <w:sz w:val="20"/>
                <w:szCs w:val="20"/>
                <w:color w:val="auto"/>
              </w:rPr>
            </w:pPr>
            <w:r>
              <w:rPr>
                <w:rFonts w:ascii="Courier New" w:cs="Courier New" w:eastAsia="Courier New" w:hAnsi="Courier New"/>
                <w:sz w:val="16"/>
                <w:szCs w:val="16"/>
                <w:color w:val="auto"/>
              </w:rPr>
              <w:t>Depreciation and amortization</w:t>
            </w:r>
          </w:p>
        </w:tc>
        <w:tc>
          <w:tcPr>
            <w:tcW w:w="24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142,554</w:t>
            </w:r>
          </w:p>
        </w:tc>
        <w:tc>
          <w:tcPr>
            <w:tcW w:w="23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204,449</w:t>
            </w:r>
          </w:p>
        </w:tc>
      </w:tr>
      <w:tr>
        <w:trPr>
          <w:trHeight w:val="188"/>
        </w:trPr>
        <w:tc>
          <w:tcPr>
            <w:tcW w:w="6200" w:type="dxa"/>
            <w:vAlign w:val="bottom"/>
          </w:tcPr>
          <w:p>
            <w:pPr>
              <w:ind w:left="880"/>
              <w:spacing w:after="0"/>
              <w:rPr>
                <w:sz w:val="20"/>
                <w:szCs w:val="20"/>
                <w:color w:val="auto"/>
              </w:rPr>
            </w:pPr>
            <w:r>
              <w:rPr>
                <w:rFonts w:ascii="Courier New" w:cs="Courier New" w:eastAsia="Courier New" w:hAnsi="Courier New"/>
                <w:sz w:val="16"/>
                <w:szCs w:val="16"/>
                <w:color w:val="auto"/>
              </w:rPr>
              <w:t>Gain on sale of investments</w:t>
            </w:r>
          </w:p>
        </w:tc>
        <w:tc>
          <w:tcPr>
            <w:tcW w:w="24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(2,550,230)</w:t>
            </w:r>
          </w:p>
        </w:tc>
        <w:tc>
          <w:tcPr>
            <w:tcW w:w="23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6200" w:type="dxa"/>
            <w:vAlign w:val="bottom"/>
          </w:tcPr>
          <w:p>
            <w:pPr>
              <w:ind w:left="880"/>
              <w:spacing w:after="0"/>
              <w:rPr>
                <w:sz w:val="20"/>
                <w:szCs w:val="20"/>
                <w:color w:val="auto"/>
              </w:rPr>
            </w:pPr>
            <w:r>
              <w:rPr>
                <w:rFonts w:ascii="Courier New" w:cs="Courier New" w:eastAsia="Courier New" w:hAnsi="Courier New"/>
                <w:sz w:val="16"/>
                <w:szCs w:val="16"/>
                <w:color w:val="auto"/>
              </w:rPr>
              <w:t>Compensation expense relating to the grant</w:t>
            </w:r>
          </w:p>
        </w:tc>
        <w:tc>
          <w:tcPr>
            <w:tcW w:w="2400" w:type="dxa"/>
            <w:vAlign w:val="bottom"/>
          </w:tcPr>
          <w:p>
            <w:pPr>
              <w:spacing w:after="0"/>
              <w:rPr>
                <w:sz w:val="16"/>
                <w:szCs w:val="16"/>
                <w:color w:val="auto"/>
              </w:rPr>
            </w:pPr>
          </w:p>
        </w:tc>
        <w:tc>
          <w:tcPr>
            <w:tcW w:w="2340" w:type="dxa"/>
            <w:vAlign w:val="bottom"/>
          </w:tcPr>
          <w:p>
            <w:pPr>
              <w:spacing w:after="0"/>
              <w:rPr>
                <w:sz w:val="16"/>
                <w:szCs w:val="16"/>
                <w:color w:val="auto"/>
              </w:rPr>
            </w:pPr>
          </w:p>
        </w:tc>
      </w:tr>
      <w:tr>
        <w:trPr>
          <w:trHeight w:val="188"/>
        </w:trPr>
        <w:tc>
          <w:tcPr>
            <w:tcW w:w="6200" w:type="dxa"/>
            <w:vAlign w:val="bottom"/>
          </w:tcPr>
          <w:p>
            <w:pPr>
              <w:ind w:left="1360"/>
              <w:spacing w:after="0"/>
              <w:rPr>
                <w:sz w:val="20"/>
                <w:szCs w:val="20"/>
                <w:color w:val="auto"/>
              </w:rPr>
            </w:pPr>
            <w:r>
              <w:rPr>
                <w:rFonts w:ascii="Courier New" w:cs="Courier New" w:eastAsia="Courier New" w:hAnsi="Courier New"/>
                <w:sz w:val="16"/>
                <w:szCs w:val="16"/>
                <w:color w:val="auto"/>
              </w:rPr>
              <w:t>of stock options</w:t>
            </w:r>
          </w:p>
        </w:tc>
        <w:tc>
          <w:tcPr>
            <w:tcW w:w="24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128,220</w:t>
            </w:r>
          </w:p>
        </w:tc>
        <w:tc>
          <w:tcPr>
            <w:tcW w:w="23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43,750</w:t>
            </w:r>
          </w:p>
        </w:tc>
      </w:tr>
      <w:tr>
        <w:trPr>
          <w:trHeight w:val="188"/>
        </w:trPr>
        <w:tc>
          <w:tcPr>
            <w:tcW w:w="6200" w:type="dxa"/>
            <w:vAlign w:val="bottom"/>
          </w:tcPr>
          <w:p>
            <w:pPr>
              <w:ind w:left="880"/>
              <w:spacing w:after="0"/>
              <w:rPr>
                <w:sz w:val="20"/>
                <w:szCs w:val="20"/>
                <w:color w:val="auto"/>
              </w:rPr>
            </w:pPr>
            <w:r>
              <w:rPr>
                <w:rFonts w:ascii="Courier New" w:cs="Courier New" w:eastAsia="Courier New" w:hAnsi="Courier New"/>
                <w:sz w:val="16"/>
                <w:szCs w:val="16"/>
                <w:color w:val="auto"/>
              </w:rPr>
              <w:t>Net changes in operating assets and liabilities</w:t>
            </w:r>
          </w:p>
        </w:tc>
        <w:tc>
          <w:tcPr>
            <w:tcW w:w="24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(1,812,084)</w:t>
            </w:r>
          </w:p>
        </w:tc>
        <w:tc>
          <w:tcPr>
            <w:tcW w:w="2340" w:type="dxa"/>
            <w:vAlign w:val="bottom"/>
          </w:tcPr>
          <w:p>
            <w:pPr>
              <w:jc w:val="right"/>
              <w:spacing w:after="0"/>
              <w:rPr>
                <w:sz w:val="20"/>
                <w:szCs w:val="20"/>
                <w:color w:val="auto"/>
              </w:rPr>
            </w:pPr>
            <w:r>
              <w:rPr>
                <w:rFonts w:ascii="Courier New" w:cs="Courier New" w:eastAsia="Courier New" w:hAnsi="Courier New"/>
                <w:sz w:val="16"/>
                <w:szCs w:val="16"/>
                <w:color w:val="auto"/>
              </w:rPr>
              <w:t>(1,776,812)</w:t>
            </w:r>
          </w:p>
        </w:tc>
      </w:tr>
      <w:tr>
        <w:trPr>
          <w:trHeight w:val="188"/>
        </w:trPr>
        <w:tc>
          <w:tcPr>
            <w:tcW w:w="6200" w:type="dxa"/>
            <w:vAlign w:val="bottom"/>
          </w:tcPr>
          <w:p>
            <w:pPr>
              <w:spacing w:after="0"/>
              <w:rPr>
                <w:sz w:val="16"/>
                <w:szCs w:val="16"/>
                <w:color w:val="auto"/>
              </w:rPr>
            </w:pPr>
          </w:p>
        </w:tc>
        <w:tc>
          <w:tcPr>
            <w:tcW w:w="24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2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6200" w:type="dxa"/>
            <w:vAlign w:val="bottom"/>
          </w:tcPr>
          <w:p>
            <w:pPr>
              <w:ind w:left="480"/>
              <w:spacing w:after="0"/>
              <w:rPr>
                <w:sz w:val="20"/>
                <w:szCs w:val="20"/>
                <w:color w:val="auto"/>
              </w:rPr>
            </w:pPr>
            <w:r>
              <w:rPr>
                <w:rFonts w:ascii="Courier New" w:cs="Courier New" w:eastAsia="Courier New" w:hAnsi="Courier New"/>
                <w:sz w:val="16"/>
                <w:szCs w:val="16"/>
                <w:color w:val="auto"/>
              </w:rPr>
              <w:t>Net cash used in operating activities</w:t>
            </w:r>
          </w:p>
        </w:tc>
        <w:tc>
          <w:tcPr>
            <w:tcW w:w="24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(3,822,999)</w:t>
            </w:r>
          </w:p>
        </w:tc>
        <w:tc>
          <w:tcPr>
            <w:tcW w:w="2340" w:type="dxa"/>
            <w:vAlign w:val="bottom"/>
          </w:tcPr>
          <w:p>
            <w:pPr>
              <w:jc w:val="right"/>
              <w:spacing w:after="0"/>
              <w:rPr>
                <w:sz w:val="20"/>
                <w:szCs w:val="20"/>
                <w:color w:val="auto"/>
              </w:rPr>
            </w:pPr>
            <w:r>
              <w:rPr>
                <w:rFonts w:ascii="Courier New" w:cs="Courier New" w:eastAsia="Courier New" w:hAnsi="Courier New"/>
                <w:sz w:val="16"/>
                <w:szCs w:val="16"/>
                <w:color w:val="auto"/>
              </w:rPr>
              <w:t>(3,322,870)</w:t>
            </w:r>
          </w:p>
        </w:tc>
      </w:tr>
      <w:tr>
        <w:trPr>
          <w:trHeight w:val="188"/>
        </w:trPr>
        <w:tc>
          <w:tcPr>
            <w:tcW w:w="6200" w:type="dxa"/>
            <w:vAlign w:val="bottom"/>
          </w:tcPr>
          <w:p>
            <w:pPr>
              <w:spacing w:after="0"/>
              <w:rPr>
                <w:sz w:val="16"/>
                <w:szCs w:val="16"/>
                <w:color w:val="auto"/>
              </w:rPr>
            </w:pPr>
          </w:p>
        </w:tc>
        <w:tc>
          <w:tcPr>
            <w:tcW w:w="24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2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620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240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188"/>
        </w:trPr>
        <w:tc>
          <w:tcPr>
            <w:tcW w:w="6200" w:type="dxa"/>
            <w:vAlign w:val="bottom"/>
          </w:tcPr>
          <w:p>
            <w:pPr>
              <w:ind w:left="480"/>
              <w:spacing w:after="0"/>
              <w:rPr>
                <w:sz w:val="20"/>
                <w:szCs w:val="20"/>
                <w:color w:val="auto"/>
              </w:rPr>
            </w:pPr>
            <w:r>
              <w:rPr>
                <w:rFonts w:ascii="Courier New" w:cs="Courier New" w:eastAsia="Courier New" w:hAnsi="Courier New"/>
                <w:sz w:val="16"/>
                <w:szCs w:val="16"/>
                <w:color w:val="auto"/>
              </w:rPr>
              <w:t>Proceeds from sale of investments</w:t>
            </w:r>
          </w:p>
        </w:tc>
        <w:tc>
          <w:tcPr>
            <w:tcW w:w="24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2,550,230</w:t>
            </w:r>
          </w:p>
        </w:tc>
        <w:tc>
          <w:tcPr>
            <w:tcW w:w="23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6200" w:type="dxa"/>
            <w:vAlign w:val="bottom"/>
          </w:tcPr>
          <w:p>
            <w:pPr>
              <w:ind w:left="480"/>
              <w:spacing w:after="0"/>
              <w:rPr>
                <w:sz w:val="20"/>
                <w:szCs w:val="20"/>
                <w:color w:val="auto"/>
              </w:rPr>
            </w:pPr>
            <w:r>
              <w:rPr>
                <w:rFonts w:ascii="Courier New" w:cs="Courier New" w:eastAsia="Courier New" w:hAnsi="Courier New"/>
                <w:sz w:val="16"/>
                <w:szCs w:val="16"/>
                <w:color w:val="auto"/>
              </w:rPr>
              <w:t>Purchase of property, plant and equipment</w:t>
            </w:r>
          </w:p>
        </w:tc>
        <w:tc>
          <w:tcPr>
            <w:tcW w:w="24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(114,734)</w:t>
            </w:r>
          </w:p>
        </w:tc>
        <w:tc>
          <w:tcPr>
            <w:tcW w:w="2340" w:type="dxa"/>
            <w:vAlign w:val="bottom"/>
          </w:tcPr>
          <w:p>
            <w:pPr>
              <w:jc w:val="right"/>
              <w:spacing w:after="0"/>
              <w:rPr>
                <w:sz w:val="20"/>
                <w:szCs w:val="20"/>
                <w:color w:val="auto"/>
              </w:rPr>
            </w:pPr>
            <w:r>
              <w:rPr>
                <w:rFonts w:ascii="Courier New" w:cs="Courier New" w:eastAsia="Courier New" w:hAnsi="Courier New"/>
                <w:sz w:val="16"/>
                <w:szCs w:val="16"/>
                <w:color w:val="auto"/>
              </w:rPr>
              <w:t>(7,542)</w:t>
            </w:r>
          </w:p>
        </w:tc>
      </w:tr>
      <w:tr>
        <w:trPr>
          <w:trHeight w:val="188"/>
        </w:trPr>
        <w:tc>
          <w:tcPr>
            <w:tcW w:w="6200" w:type="dxa"/>
            <w:vAlign w:val="bottom"/>
          </w:tcPr>
          <w:p>
            <w:pPr>
              <w:ind w:left="480"/>
              <w:spacing w:after="0"/>
              <w:rPr>
                <w:sz w:val="20"/>
                <w:szCs w:val="20"/>
                <w:color w:val="auto"/>
              </w:rPr>
            </w:pPr>
            <w:r>
              <w:rPr>
                <w:rFonts w:ascii="Courier New" w:cs="Courier New" w:eastAsia="Courier New" w:hAnsi="Courier New"/>
                <w:sz w:val="16"/>
                <w:szCs w:val="16"/>
                <w:color w:val="auto"/>
              </w:rPr>
              <w:t>Acquisition of other assets</w:t>
            </w:r>
          </w:p>
        </w:tc>
        <w:tc>
          <w:tcPr>
            <w:tcW w:w="24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(126,391)</w:t>
            </w:r>
          </w:p>
        </w:tc>
        <w:tc>
          <w:tcPr>
            <w:tcW w:w="23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6200" w:type="dxa"/>
            <w:vAlign w:val="bottom"/>
          </w:tcPr>
          <w:p>
            <w:pPr>
              <w:ind w:left="480"/>
              <w:spacing w:after="0"/>
              <w:rPr>
                <w:sz w:val="20"/>
                <w:szCs w:val="20"/>
                <w:color w:val="auto"/>
              </w:rPr>
            </w:pPr>
            <w:r>
              <w:rPr>
                <w:rFonts w:ascii="Courier New" w:cs="Courier New" w:eastAsia="Courier New" w:hAnsi="Courier New"/>
                <w:sz w:val="16"/>
                <w:szCs w:val="16"/>
                <w:color w:val="auto"/>
              </w:rPr>
              <w:t>Proceeds from sales of technology</w:t>
            </w:r>
          </w:p>
        </w:tc>
        <w:tc>
          <w:tcPr>
            <w:tcW w:w="24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23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2,800,000</w:t>
            </w:r>
          </w:p>
        </w:tc>
      </w:tr>
      <w:tr>
        <w:trPr>
          <w:trHeight w:val="188"/>
        </w:trPr>
        <w:tc>
          <w:tcPr>
            <w:tcW w:w="6200" w:type="dxa"/>
            <w:vAlign w:val="bottom"/>
          </w:tcPr>
          <w:p>
            <w:pPr>
              <w:spacing w:after="0"/>
              <w:rPr>
                <w:sz w:val="16"/>
                <w:szCs w:val="16"/>
                <w:color w:val="auto"/>
              </w:rPr>
            </w:pPr>
          </w:p>
        </w:tc>
        <w:tc>
          <w:tcPr>
            <w:tcW w:w="24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23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6200" w:type="dxa"/>
            <w:vAlign w:val="bottom"/>
          </w:tcPr>
          <w:p>
            <w:pPr>
              <w:ind w:left="480"/>
              <w:spacing w:after="0"/>
              <w:rPr>
                <w:sz w:val="20"/>
                <w:szCs w:val="20"/>
                <w:color w:val="auto"/>
              </w:rPr>
            </w:pPr>
            <w:r>
              <w:rPr>
                <w:rFonts w:ascii="Courier New" w:cs="Courier New" w:eastAsia="Courier New" w:hAnsi="Courier New"/>
                <w:sz w:val="16"/>
                <w:szCs w:val="16"/>
                <w:color w:val="auto"/>
              </w:rPr>
              <w:t>Net cash provided by investing activities</w:t>
            </w:r>
          </w:p>
        </w:tc>
        <w:tc>
          <w:tcPr>
            <w:tcW w:w="24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2,309,105</w:t>
            </w:r>
          </w:p>
        </w:tc>
        <w:tc>
          <w:tcPr>
            <w:tcW w:w="23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2,792,458</w:t>
            </w:r>
          </w:p>
        </w:tc>
      </w:tr>
      <w:tr>
        <w:trPr>
          <w:trHeight w:val="188"/>
        </w:trPr>
        <w:tc>
          <w:tcPr>
            <w:tcW w:w="6200" w:type="dxa"/>
            <w:vAlign w:val="bottom"/>
          </w:tcPr>
          <w:p>
            <w:pPr>
              <w:spacing w:after="0"/>
              <w:rPr>
                <w:sz w:val="16"/>
                <w:szCs w:val="16"/>
                <w:color w:val="auto"/>
              </w:rPr>
            </w:pPr>
          </w:p>
        </w:tc>
        <w:tc>
          <w:tcPr>
            <w:tcW w:w="24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23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620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240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188"/>
        </w:trPr>
        <w:tc>
          <w:tcPr>
            <w:tcW w:w="6200" w:type="dxa"/>
            <w:vAlign w:val="bottom"/>
          </w:tcPr>
          <w:p>
            <w:pPr>
              <w:ind w:left="480"/>
              <w:spacing w:after="0"/>
              <w:rPr>
                <w:sz w:val="20"/>
                <w:szCs w:val="20"/>
                <w:color w:val="auto"/>
              </w:rPr>
            </w:pPr>
            <w:r>
              <w:rPr>
                <w:rFonts w:ascii="Courier New" w:cs="Courier New" w:eastAsia="Courier New" w:hAnsi="Courier New"/>
                <w:sz w:val="16"/>
                <w:szCs w:val="16"/>
                <w:color w:val="auto"/>
              </w:rPr>
              <w:t>Proceeds from the exercise of stock options</w:t>
            </w:r>
          </w:p>
        </w:tc>
        <w:tc>
          <w:tcPr>
            <w:tcW w:w="2400" w:type="dxa"/>
            <w:vAlign w:val="bottom"/>
          </w:tcPr>
          <w:p>
            <w:pPr>
              <w:spacing w:after="0"/>
              <w:rPr>
                <w:sz w:val="16"/>
                <w:szCs w:val="16"/>
                <w:color w:val="auto"/>
              </w:rPr>
            </w:pPr>
          </w:p>
        </w:tc>
        <w:tc>
          <w:tcPr>
            <w:tcW w:w="2340" w:type="dxa"/>
            <w:vAlign w:val="bottom"/>
          </w:tcPr>
          <w:p>
            <w:pPr>
              <w:spacing w:after="0"/>
              <w:rPr>
                <w:sz w:val="16"/>
                <w:szCs w:val="16"/>
                <w:color w:val="auto"/>
              </w:rPr>
            </w:pPr>
          </w:p>
        </w:tc>
      </w:tr>
      <w:tr>
        <w:trPr>
          <w:trHeight w:val="188"/>
        </w:trPr>
        <w:tc>
          <w:tcPr>
            <w:tcW w:w="6200" w:type="dxa"/>
            <w:vAlign w:val="bottom"/>
          </w:tcPr>
          <w:p>
            <w:pPr>
              <w:ind w:left="880"/>
              <w:spacing w:after="0"/>
              <w:rPr>
                <w:sz w:val="20"/>
                <w:szCs w:val="20"/>
                <w:color w:val="auto"/>
              </w:rPr>
            </w:pPr>
            <w:r>
              <w:rPr>
                <w:rFonts w:ascii="Courier New" w:cs="Courier New" w:eastAsia="Courier New" w:hAnsi="Courier New"/>
                <w:sz w:val="16"/>
                <w:szCs w:val="16"/>
                <w:color w:val="auto"/>
              </w:rPr>
              <w:t>and warrants</w:t>
            </w:r>
          </w:p>
        </w:tc>
        <w:tc>
          <w:tcPr>
            <w:tcW w:w="24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26,605</w:t>
            </w:r>
          </w:p>
        </w:tc>
        <w:tc>
          <w:tcPr>
            <w:tcW w:w="23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352,557</w:t>
            </w:r>
          </w:p>
        </w:tc>
      </w:tr>
      <w:tr>
        <w:trPr>
          <w:trHeight w:val="188"/>
        </w:trPr>
        <w:tc>
          <w:tcPr>
            <w:tcW w:w="6200" w:type="dxa"/>
            <w:vAlign w:val="bottom"/>
          </w:tcPr>
          <w:p>
            <w:pPr>
              <w:ind w:left="480"/>
              <w:spacing w:after="0"/>
              <w:rPr>
                <w:sz w:val="20"/>
                <w:szCs w:val="20"/>
                <w:color w:val="auto"/>
              </w:rPr>
            </w:pPr>
            <w:r>
              <w:rPr>
                <w:rFonts w:ascii="Courier New" w:cs="Courier New" w:eastAsia="Courier New" w:hAnsi="Courier New"/>
                <w:sz w:val="16"/>
                <w:szCs w:val="16"/>
                <w:color w:val="auto"/>
              </w:rPr>
              <w:t>Principal payments under capitalized lease</w:t>
            </w:r>
          </w:p>
        </w:tc>
        <w:tc>
          <w:tcPr>
            <w:tcW w:w="2400" w:type="dxa"/>
            <w:vAlign w:val="bottom"/>
          </w:tcPr>
          <w:p>
            <w:pPr>
              <w:spacing w:after="0"/>
              <w:rPr>
                <w:sz w:val="16"/>
                <w:szCs w:val="16"/>
                <w:color w:val="auto"/>
              </w:rPr>
            </w:pPr>
          </w:p>
        </w:tc>
        <w:tc>
          <w:tcPr>
            <w:tcW w:w="2340" w:type="dxa"/>
            <w:vAlign w:val="bottom"/>
          </w:tcPr>
          <w:p>
            <w:pPr>
              <w:spacing w:after="0"/>
              <w:rPr>
                <w:sz w:val="16"/>
                <w:szCs w:val="16"/>
                <w:color w:val="auto"/>
              </w:rPr>
            </w:pPr>
          </w:p>
        </w:tc>
      </w:tr>
      <w:tr>
        <w:trPr>
          <w:trHeight w:val="188"/>
        </w:trPr>
        <w:tc>
          <w:tcPr>
            <w:tcW w:w="6200" w:type="dxa"/>
            <w:vAlign w:val="bottom"/>
          </w:tcPr>
          <w:p>
            <w:pPr>
              <w:ind w:left="880"/>
              <w:spacing w:after="0"/>
              <w:rPr>
                <w:sz w:val="20"/>
                <w:szCs w:val="20"/>
                <w:color w:val="auto"/>
              </w:rPr>
            </w:pPr>
            <w:r>
              <w:rPr>
                <w:rFonts w:ascii="Courier New" w:cs="Courier New" w:eastAsia="Courier New" w:hAnsi="Courier New"/>
                <w:sz w:val="16"/>
                <w:szCs w:val="16"/>
                <w:color w:val="auto"/>
              </w:rPr>
              <w:t>obligations</w:t>
            </w:r>
          </w:p>
        </w:tc>
        <w:tc>
          <w:tcPr>
            <w:tcW w:w="24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(82,500)</w:t>
            </w:r>
          </w:p>
        </w:tc>
        <w:tc>
          <w:tcPr>
            <w:tcW w:w="2340" w:type="dxa"/>
            <w:vAlign w:val="bottom"/>
          </w:tcPr>
          <w:p>
            <w:pPr>
              <w:jc w:val="right"/>
              <w:spacing w:after="0"/>
              <w:rPr>
                <w:sz w:val="20"/>
                <w:szCs w:val="20"/>
                <w:color w:val="auto"/>
              </w:rPr>
            </w:pPr>
            <w:r>
              <w:rPr>
                <w:rFonts w:ascii="Courier New" w:cs="Courier New" w:eastAsia="Courier New" w:hAnsi="Courier New"/>
                <w:sz w:val="16"/>
                <w:szCs w:val="16"/>
                <w:color w:val="auto"/>
              </w:rPr>
              <w:t>(80,000)</w:t>
            </w:r>
          </w:p>
        </w:tc>
      </w:tr>
      <w:tr>
        <w:trPr>
          <w:trHeight w:val="188"/>
        </w:trPr>
        <w:tc>
          <w:tcPr>
            <w:tcW w:w="6200" w:type="dxa"/>
            <w:vAlign w:val="bottom"/>
          </w:tcPr>
          <w:p>
            <w:pPr>
              <w:spacing w:after="0"/>
              <w:rPr>
                <w:sz w:val="16"/>
                <w:szCs w:val="16"/>
                <w:color w:val="auto"/>
              </w:rPr>
            </w:pPr>
          </w:p>
        </w:tc>
        <w:tc>
          <w:tcPr>
            <w:tcW w:w="24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2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6200" w:type="dxa"/>
            <w:vAlign w:val="bottom"/>
          </w:tcPr>
          <w:p>
            <w:pPr>
              <w:ind w:left="480"/>
              <w:spacing w:after="0"/>
              <w:rPr>
                <w:sz w:val="20"/>
                <w:szCs w:val="20"/>
                <w:color w:val="auto"/>
              </w:rPr>
            </w:pPr>
            <w:r>
              <w:rPr>
                <w:rFonts w:ascii="Courier New" w:cs="Courier New" w:eastAsia="Courier New" w:hAnsi="Courier New"/>
                <w:sz w:val="16"/>
                <w:szCs w:val="16"/>
                <w:color w:val="auto"/>
              </w:rPr>
              <w:t>Net cash provided by (used by) financing</w:t>
            </w:r>
          </w:p>
        </w:tc>
        <w:tc>
          <w:tcPr>
            <w:tcW w:w="240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188"/>
        </w:trPr>
        <w:tc>
          <w:tcPr>
            <w:tcW w:w="6200" w:type="dxa"/>
            <w:vAlign w:val="bottom"/>
          </w:tcPr>
          <w:p>
            <w:pPr>
              <w:ind w:left="880"/>
              <w:spacing w:after="0"/>
              <w:rPr>
                <w:sz w:val="20"/>
                <w:szCs w:val="20"/>
                <w:color w:val="auto"/>
              </w:rPr>
            </w:pPr>
            <w:r>
              <w:rPr>
                <w:rFonts w:ascii="Courier New" w:cs="Courier New" w:eastAsia="Courier New" w:hAnsi="Courier New"/>
                <w:sz w:val="16"/>
                <w:szCs w:val="16"/>
                <w:color w:val="auto"/>
              </w:rPr>
              <w:t>activities</w:t>
            </w:r>
          </w:p>
        </w:tc>
        <w:tc>
          <w:tcPr>
            <w:tcW w:w="24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(55,895)</w:t>
            </w:r>
          </w:p>
        </w:tc>
        <w:tc>
          <w:tcPr>
            <w:tcW w:w="23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272,557</w:t>
            </w:r>
          </w:p>
        </w:tc>
      </w:tr>
      <w:tr>
        <w:trPr>
          <w:trHeight w:val="188"/>
        </w:trPr>
        <w:tc>
          <w:tcPr>
            <w:tcW w:w="6200" w:type="dxa"/>
            <w:vAlign w:val="bottom"/>
          </w:tcPr>
          <w:p>
            <w:pPr>
              <w:spacing w:after="0"/>
              <w:rPr>
                <w:sz w:val="16"/>
                <w:szCs w:val="16"/>
                <w:color w:val="auto"/>
              </w:rPr>
            </w:pPr>
          </w:p>
        </w:tc>
        <w:tc>
          <w:tcPr>
            <w:tcW w:w="24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23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6200" w:type="dxa"/>
            <w:vAlign w:val="bottom"/>
          </w:tcPr>
          <w:p>
            <w:pPr>
              <w:spacing w:after="0"/>
              <w:rPr>
                <w:sz w:val="20"/>
                <w:szCs w:val="20"/>
                <w:color w:val="auto"/>
              </w:rPr>
            </w:pPr>
            <w:r>
              <w:rPr>
                <w:rFonts w:ascii="Courier New" w:cs="Courier New" w:eastAsia="Courier New" w:hAnsi="Courier New"/>
                <w:sz w:val="16"/>
                <w:szCs w:val="16"/>
                <w:color w:val="auto"/>
              </w:rPr>
              <w:t>Net decrease in cash and cash equivalents</w:t>
            </w:r>
          </w:p>
        </w:tc>
        <w:tc>
          <w:tcPr>
            <w:tcW w:w="24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(1,569,789)</w:t>
            </w:r>
          </w:p>
        </w:tc>
        <w:tc>
          <w:tcPr>
            <w:tcW w:w="2340" w:type="dxa"/>
            <w:vAlign w:val="bottom"/>
          </w:tcPr>
          <w:p>
            <w:pPr>
              <w:jc w:val="right"/>
              <w:spacing w:after="0"/>
              <w:rPr>
                <w:sz w:val="20"/>
                <w:szCs w:val="20"/>
                <w:color w:val="auto"/>
              </w:rPr>
            </w:pPr>
            <w:r>
              <w:rPr>
                <w:rFonts w:ascii="Courier New" w:cs="Courier New" w:eastAsia="Courier New" w:hAnsi="Courier New"/>
                <w:sz w:val="16"/>
                <w:szCs w:val="16"/>
                <w:color w:val="auto"/>
              </w:rPr>
              <w:t>(257,855)</w:t>
            </w:r>
          </w:p>
        </w:tc>
      </w:tr>
      <w:tr>
        <w:trPr>
          <w:trHeight w:val="188"/>
        </w:trPr>
        <w:tc>
          <w:tcPr>
            <w:tcW w:w="6200" w:type="dxa"/>
            <w:vAlign w:val="bottom"/>
          </w:tcPr>
          <w:p>
            <w:pPr>
              <w:spacing w:after="0"/>
              <w:rPr>
                <w:sz w:val="20"/>
                <w:szCs w:val="20"/>
                <w:color w:val="auto"/>
              </w:rPr>
            </w:pPr>
            <w:r>
              <w:rPr>
                <w:rFonts w:ascii="Courier New" w:cs="Courier New" w:eastAsia="Courier New" w:hAnsi="Courier New"/>
                <w:sz w:val="16"/>
                <w:szCs w:val="16"/>
                <w:color w:val="auto"/>
              </w:rPr>
              <w:t>Cash and cash equivalents, beginning of period</w:t>
            </w:r>
          </w:p>
        </w:tc>
        <w:tc>
          <w:tcPr>
            <w:tcW w:w="24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6,068,947</w:t>
            </w:r>
          </w:p>
        </w:tc>
        <w:tc>
          <w:tcPr>
            <w:tcW w:w="23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4,760,064</w:t>
            </w:r>
          </w:p>
        </w:tc>
      </w:tr>
      <w:tr>
        <w:trPr>
          <w:trHeight w:val="188"/>
        </w:trPr>
        <w:tc>
          <w:tcPr>
            <w:tcW w:w="6200" w:type="dxa"/>
            <w:vAlign w:val="bottom"/>
          </w:tcPr>
          <w:p>
            <w:pPr>
              <w:spacing w:after="0"/>
              <w:rPr>
                <w:sz w:val="16"/>
                <w:szCs w:val="16"/>
                <w:color w:val="auto"/>
              </w:rPr>
            </w:pPr>
          </w:p>
        </w:tc>
        <w:tc>
          <w:tcPr>
            <w:tcW w:w="24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23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6200" w:type="dxa"/>
            <w:vAlign w:val="bottom"/>
          </w:tcPr>
          <w:p>
            <w:pPr>
              <w:spacing w:after="0"/>
              <w:rPr>
                <w:sz w:val="20"/>
                <w:szCs w:val="20"/>
                <w:color w:val="auto"/>
              </w:rPr>
            </w:pPr>
            <w:r>
              <w:rPr>
                <w:rFonts w:ascii="Courier New" w:cs="Courier New" w:eastAsia="Courier New" w:hAnsi="Courier New"/>
                <w:sz w:val="16"/>
                <w:szCs w:val="16"/>
                <w:color w:val="auto"/>
              </w:rPr>
              <w:t>Cash and cash equivalents, end of period</w:t>
            </w:r>
          </w:p>
        </w:tc>
        <w:tc>
          <w:tcPr>
            <w:tcW w:w="24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$4,499,158</w:t>
            </w:r>
          </w:p>
        </w:tc>
        <w:tc>
          <w:tcPr>
            <w:tcW w:w="23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$4,502,209</w:t>
            </w:r>
          </w:p>
        </w:tc>
      </w:tr>
      <w:tr>
        <w:trPr>
          <w:trHeight w:val="188"/>
        </w:trPr>
        <w:tc>
          <w:tcPr>
            <w:tcW w:w="6200" w:type="dxa"/>
            <w:vAlign w:val="bottom"/>
          </w:tcPr>
          <w:p>
            <w:pPr>
              <w:spacing w:after="0"/>
              <w:rPr>
                <w:sz w:val="16"/>
                <w:szCs w:val="16"/>
                <w:color w:val="auto"/>
              </w:rPr>
            </w:pPr>
          </w:p>
        </w:tc>
        <w:tc>
          <w:tcPr>
            <w:tcW w:w="24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23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6200" w:type="dxa"/>
            <w:vAlign w:val="bottom"/>
          </w:tcPr>
          <w:p>
            <w:pPr>
              <w:spacing w:after="0"/>
              <w:rPr>
                <w:sz w:val="20"/>
                <w:szCs w:val="20"/>
                <w:color w:val="auto"/>
              </w:rPr>
            </w:pPr>
            <w:r>
              <w:rPr>
                <w:rFonts w:ascii="Courier New" w:cs="Courier New" w:eastAsia="Courier New" w:hAnsi="Courier New"/>
                <w:sz w:val="16"/>
                <w:szCs w:val="16"/>
                <w:color w:val="auto"/>
              </w:rPr>
              <w:t>Supplemental disclosure of cash flow information:</w:t>
            </w:r>
          </w:p>
        </w:tc>
        <w:tc>
          <w:tcPr>
            <w:tcW w:w="240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188"/>
        </w:trPr>
        <w:tc>
          <w:tcPr>
            <w:tcW w:w="6200" w:type="dxa"/>
            <w:vAlign w:val="bottom"/>
          </w:tcPr>
          <w:p>
            <w:pPr>
              <w:ind w:left="480"/>
              <w:spacing w:after="0"/>
              <w:rPr>
                <w:sz w:val="20"/>
                <w:szCs w:val="20"/>
                <w:color w:val="auto"/>
              </w:rPr>
            </w:pPr>
            <w:r>
              <w:rPr>
                <w:rFonts w:ascii="Courier New" w:cs="Courier New" w:eastAsia="Courier New" w:hAnsi="Courier New"/>
                <w:sz w:val="16"/>
                <w:szCs w:val="16"/>
                <w:color w:val="auto"/>
              </w:rPr>
              <w:t>Interest paid</w:t>
            </w:r>
          </w:p>
        </w:tc>
        <w:tc>
          <w:tcPr>
            <w:tcW w:w="24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$64,460</w:t>
            </w:r>
          </w:p>
        </w:tc>
        <w:tc>
          <w:tcPr>
            <w:tcW w:w="23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$68,858</w:t>
            </w:r>
          </w:p>
        </w:tc>
      </w:tr>
      <w:tr>
        <w:trPr>
          <w:trHeight w:val="752"/>
        </w:trPr>
        <w:tc>
          <w:tcPr>
            <w:tcW w:w="6200" w:type="dxa"/>
            <w:vAlign w:val="bottom"/>
          </w:tcPr>
          <w:p>
            <w:pPr>
              <w:ind w:left="3820"/>
              <w:spacing w:after="0"/>
              <w:rPr>
                <w:sz w:val="20"/>
                <w:szCs w:val="20"/>
                <w:color w:val="auto"/>
              </w:rPr>
            </w:pPr>
            <w:r>
              <w:rPr>
                <w:rFonts w:ascii="Courier New" w:cs="Courier New" w:eastAsia="Courier New" w:hAnsi="Courier New"/>
                <w:sz w:val="16"/>
                <w:szCs w:val="16"/>
                <w:color w:val="auto"/>
              </w:rPr>
              <w:t>-4-</w:t>
            </w:r>
          </w:p>
        </w:tc>
        <w:tc>
          <w:tcPr>
            <w:tcW w:w="2400" w:type="dxa"/>
            <w:vAlign w:val="bottom"/>
          </w:tcPr>
          <w:p>
            <w:pPr>
              <w:spacing w:after="0"/>
              <w:rPr>
                <w:sz w:val="24"/>
                <w:szCs w:val="24"/>
                <w:color w:val="auto"/>
              </w:rPr>
            </w:pPr>
          </w:p>
        </w:tc>
        <w:tc>
          <w:tcPr>
            <w:tcW w:w="2340" w:type="dxa"/>
            <w:vAlign w:val="bottom"/>
          </w:tcPr>
          <w:p>
            <w:pPr>
              <w:spacing w:after="0"/>
              <w:rPr>
                <w:sz w:val="24"/>
                <w:szCs w:val="24"/>
                <w:color w:val="auto"/>
              </w:rPr>
            </w:pPr>
          </w:p>
        </w:tc>
      </w:tr>
    </w:tbl>
    <w:p>
      <w:pPr>
        <w:sectPr>
          <w:pgSz w:w="11900" w:h="16838" w:orient="portrait"/>
          <w:cols w:equalWidth="0" w:num="1">
            <w:col w:w="10940"/>
          </w:cols>
          <w:pgMar w:left="240" w:top="1244" w:right="71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See accompanying notes to condensed financial statements.</w:t>
      </w:r>
    </w:p>
    <w:p>
      <w:pPr>
        <w:spacing w:after="0" w:line="383"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NOTES TO CONDENSED CONSOLIDATED</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FINANCIAL STATEMENTS</w:t>
      </w:r>
    </w:p>
    <w:p>
      <w:pPr>
        <w:spacing w:after="0" w:line="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(UNAUDITED)</w:t>
      </w:r>
    </w:p>
    <w:p>
      <w:pPr>
        <w:spacing w:after="0" w:line="195"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March 31, 2001 and 2000</w:t>
      </w:r>
    </w:p>
    <w:p>
      <w:pPr>
        <w:spacing w:after="0" w:line="195"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6"/>
          <w:szCs w:val="16"/>
          <w:color w:val="auto"/>
        </w:rPr>
        <w:t>NOTE 1.</w:t>
      </w:r>
      <w:r>
        <w:rPr>
          <w:sz w:val="20"/>
          <w:szCs w:val="20"/>
          <w:color w:val="auto"/>
        </w:rPr>
        <w:tab/>
      </w:r>
      <w:r>
        <w:rPr>
          <w:rFonts w:ascii="Courier New" w:cs="Courier New" w:eastAsia="Courier New" w:hAnsi="Courier New"/>
          <w:sz w:val="16"/>
          <w:szCs w:val="16"/>
          <w:color w:val="auto"/>
        </w:rPr>
        <w:t>BASIS OF PRESENTATION</w:t>
      </w:r>
    </w:p>
    <w:p>
      <w:pPr>
        <w:spacing w:after="0" w:line="195"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On May 23, 2000, the company's name was changed to Stem Cells, Inc. from CytoTherapeutics, Inc. by vote of the shareholders at the Annual Meeting. The accompanying, unaudited, condensed consolidated financial statements have been prepared by the Company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the accompanying financial statements include all adjustments, consisting of normal recurring accruals, considered necessary for a fair presentation of the financial position, results of operations and cash flows for the periods presented. Results of operations for the three months ended March 31, 2001 are not necessarily indicative of the results that may be expected for the entire fiscal year ending December 31, 2001.</w:t>
      </w:r>
    </w:p>
    <w:p>
      <w:pPr>
        <w:spacing w:after="0" w:line="187"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The balance sheet at December 31, 2000 has been derived from the audited financial statements at that date but does not include all of the information and footnotes required for complete financial statements in accordance with accounting principles generally accepted in the United States. For the complete financial statements, refer to the audited financial statements and footnotes thereto as of December 31, 2000, included on form 10-K as amended.</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 NET INCOME (LOSS) PER SHARE</w:t>
      </w:r>
    </w:p>
    <w:p>
      <w:pPr>
        <w:spacing w:after="0" w:line="195"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Basic net income (loss) per common share is computed using the weighted average number of common shares outstanding during the period. Diluted net income per share is computed using the weighted average of common and diluted equivalent stock options and warrants outstanding during the period. We excluded all stock options and warrants from the calculation of diluted loss per common share for the period ended March 31, 2000, because these securities are antidilutive during that period.</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3. COMPREHENSIVE LOSS</w:t>
      </w:r>
    </w:p>
    <w:p>
      <w:pPr>
        <w:spacing w:after="0" w:line="195"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The only component of other comprehensive loss is unrealized gains and losses on available for sale securities. For the three months ended March 31, 2001 and 2000, total comprehensive loss was $7,675,143 and $1,794,258 respectively.</w:t>
      </w:r>
    </w:p>
    <w:p>
      <w:pPr>
        <w:spacing w:after="0" w:line="37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80" w:right="1440" w:bottom="1440" w:gutter="0" w:footer="0" w:header="0"/>
        </w:sectPr>
      </w:pPr>
    </w:p>
    <w:bookmarkStart w:id="5" w:name="page6"/>
    <w:bookmarkEnd w:id="5"/>
    <w:p>
      <w:pPr>
        <w:ind w:right="2979"/>
        <w:spacing w:after="0" w:line="252" w:lineRule="auto"/>
        <w:rPr>
          <w:sz w:val="20"/>
          <w:szCs w:val="20"/>
          <w:color w:val="auto"/>
        </w:rPr>
      </w:pPr>
      <w:r>
        <w:rPr>
          <w:rFonts w:ascii="Courier New" w:cs="Courier New" w:eastAsia="Courier New" w:hAnsi="Courier New"/>
          <w:sz w:val="16"/>
          <w:szCs w:val="16"/>
          <w:color w:val="auto"/>
        </w:rPr>
        <w:t>NOTE 4. WIND-DOWN OF ENCAPSULATED CELL TECHNOLOGY RESEARCH AND DEVELOPMENT PROGRAM</w:t>
      </w:r>
    </w:p>
    <w:p>
      <w:pPr>
        <w:spacing w:after="0" w:line="183" w:lineRule="exact"/>
        <w:rPr>
          <w:sz w:val="20"/>
          <w:szCs w:val="20"/>
          <w:color w:val="auto"/>
        </w:rPr>
      </w:pPr>
    </w:p>
    <w:p>
      <w:pPr>
        <w:ind w:right="2799" w:firstLine="880"/>
        <w:spacing w:after="0" w:line="249" w:lineRule="auto"/>
        <w:rPr>
          <w:sz w:val="20"/>
          <w:szCs w:val="20"/>
          <w:color w:val="auto"/>
        </w:rPr>
      </w:pPr>
      <w:r>
        <w:rPr>
          <w:rFonts w:ascii="Courier New" w:cs="Courier New" w:eastAsia="Courier New" w:hAnsi="Courier New"/>
          <w:sz w:val="16"/>
          <w:szCs w:val="16"/>
          <w:color w:val="auto"/>
        </w:rPr>
        <w:t>As previously reported, in 1999 the Company restructured its operations to abandon all further encapsulated cell technology research and concentrate its resources on the research and development of its proprietary platform of stem cell technologies. The Company relocated its remaining research and development activities and its corporate headquarters to California, and has been seeking to dispose of its former science and administrative and pilot manufacturing facilities in Rhode Island. In December 2000, the company had a reserve of $1,780,000 related to the carrying costs for the Rhode Island facilities through 2001. On February 2001, the Company subleased portions of the facilities and are actively seeking to sublease, assign or sell our remaining interests in the properties. However, there can be no assurance that the Company will be able to dispose of these facilities in a reasonable time, if at all. At March 31,2001 the reserve was $1,381,000.</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780"/>
        <w:spacing w:after="0"/>
        <w:tabs>
          <w:tab w:leader="none" w:pos="4380" w:val="left"/>
          <w:tab w:leader="none" w:pos="6820" w:val="left"/>
        </w:tabs>
        <w:rPr>
          <w:sz w:val="20"/>
          <w:szCs w:val="20"/>
          <w:color w:val="auto"/>
        </w:rPr>
      </w:pPr>
      <w:r>
        <w:rPr>
          <w:rFonts w:ascii="Courier New" w:cs="Courier New" w:eastAsia="Courier New" w:hAnsi="Courier New"/>
          <w:sz w:val="16"/>
          <w:szCs w:val="16"/>
          <w:color w:val="auto"/>
        </w:rPr>
        <w:t>Reserve as at 12/31/2000</w:t>
      </w:r>
      <w:r>
        <w:rPr>
          <w:sz w:val="20"/>
          <w:szCs w:val="20"/>
          <w:color w:val="auto"/>
        </w:rPr>
        <w:tab/>
      </w:r>
      <w:r>
        <w:rPr>
          <w:rFonts w:ascii="Courier New" w:cs="Courier New" w:eastAsia="Courier New" w:hAnsi="Courier New"/>
          <w:sz w:val="16"/>
          <w:szCs w:val="16"/>
          <w:color w:val="auto"/>
        </w:rPr>
        <w:t>$1,780,579</w:t>
      </w:r>
      <w:r>
        <w:rPr>
          <w:sz w:val="20"/>
          <w:szCs w:val="20"/>
          <w:color w:val="auto"/>
        </w:rPr>
        <w:tab/>
      </w:r>
      <w:r>
        <w:rPr>
          <w:rFonts w:ascii="Courier New" w:cs="Courier New" w:eastAsia="Courier New" w:hAnsi="Courier New"/>
          <w:sz w:val="16"/>
          <w:szCs w:val="16"/>
          <w:color w:val="auto"/>
        </w:rPr>
        <w:t>Reserve as at 03/31/01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1460"/>
        <w:spacing w:after="0"/>
        <w:tabs>
          <w:tab w:leader="none" w:pos="4480" w:val="left"/>
          <w:tab w:leader="none" w:pos="7400" w:val="left"/>
        </w:tabs>
        <w:rPr>
          <w:sz w:val="20"/>
          <w:szCs w:val="20"/>
          <w:color w:val="auto"/>
        </w:rPr>
      </w:pPr>
      <w:r>
        <w:rPr>
          <w:rFonts w:ascii="Courier New" w:cs="Courier New" w:eastAsia="Courier New" w:hAnsi="Courier New"/>
          <w:sz w:val="16"/>
          <w:szCs w:val="16"/>
          <w:color w:val="auto"/>
        </w:rPr>
        <w:t>$1,780,579</w:t>
      </w:r>
      <w:r>
        <w:rPr>
          <w:sz w:val="20"/>
          <w:szCs w:val="20"/>
          <w:color w:val="auto"/>
        </w:rPr>
        <w:tab/>
      </w:r>
      <w:r>
        <w:rPr>
          <w:rFonts w:ascii="Courier New" w:cs="Courier New" w:eastAsia="Courier New" w:hAnsi="Courier New"/>
          <w:sz w:val="16"/>
          <w:szCs w:val="16"/>
          <w:color w:val="auto"/>
        </w:rPr>
        <w:t>$399,632</w:t>
      </w:r>
      <w:r>
        <w:rPr>
          <w:sz w:val="20"/>
          <w:szCs w:val="20"/>
          <w:color w:val="auto"/>
        </w:rPr>
        <w:tab/>
      </w:r>
      <w:r>
        <w:rPr>
          <w:rFonts w:ascii="Courier New" w:cs="Courier New" w:eastAsia="Courier New" w:hAnsi="Courier New"/>
          <w:sz w:val="16"/>
          <w:szCs w:val="16"/>
          <w:color w:val="auto"/>
        </w:rPr>
        <w:t>$1,380,947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5. INVESTMENTS</w:t>
      </w:r>
    </w:p>
    <w:p>
      <w:pPr>
        <w:spacing w:after="0" w:line="195"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At March 31, 2001, the Company owned 103,577 shares of Modex Therapeutics Ltd. ("Modex"), a Swiss biotechnology company traded on the Swiss Exchange. On January 9, 2001, the Company sold 22,616 Modex shares for a net price of 182.00 Swiss francs per share, which converts to $112.76 per share, for total proceeds of $2,550,000. In connection with this sale, the Company agreed not to resell any more of its Modex shares until April 12, 2001. Accordingly, with an established market value, the investment is recorded as available-for-sale at an estimated fair market value. On March 31, 2001 the market price of Modex stock was 141.00 Swiss francs, or $81.22 using exchange rates on that date, which represented an estimated fair market value of $8,412,650 for the remaining shares. The unrealized gain was reported in other comprehensive income. The Company liquidated the remaining 103,577 Modex shares on April 30, 2001 for $5,232,168 net of commissions and other fees. See note 9.</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6. SALE OF SECURITIES</w:t>
      </w:r>
    </w:p>
    <w:p>
      <w:pPr>
        <w:spacing w:after="0" w:line="195"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On August 3, 2000, the Company completed a $4 million common stock financing transaction with Millennium Partners, LP (the "Fund"). The Fund purchased the Company's common stock at $4.33 per share. As set forth in an adjustable warrant issued to the Fund on the closing date, the Fund may be entitled to receive additional shares of common stock on eight dates beginning six months from the closing and every three months thereafter. The adjustable warrant may be exercised at any time prior to the thirtieth day after the last of such dates. On the first adjustment date, January 27, 2001, the Fund became entitled to 463,369 additional shares, and it has exercised its warrant as to such shares. The number of additional shares the Fund may be entitled to on each date will be based on the number of shares of common stock the Fund continues to hold on each date and the market price of the Company's common stock over a period prior to each date. The exercise price per share under the adjustable warrant is $.01. The</w:t>
      </w:r>
    </w:p>
    <w:p>
      <w:pPr>
        <w:spacing w:after="0" w:line="37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80" w:right="1440" w:bottom="1440" w:gutter="0" w:footer="0" w:header="0"/>
        </w:sectPr>
      </w:pPr>
    </w:p>
    <w:bookmarkStart w:id="6" w:name="page7"/>
    <w:bookmarkEnd w:id="6"/>
    <w:p>
      <w:pPr>
        <w:ind w:right="2699"/>
        <w:spacing w:after="0" w:line="249" w:lineRule="auto"/>
        <w:rPr>
          <w:sz w:val="20"/>
          <w:szCs w:val="20"/>
          <w:color w:val="auto"/>
        </w:rPr>
      </w:pPr>
      <w:r>
        <w:rPr>
          <w:rFonts w:ascii="Courier New" w:cs="Courier New" w:eastAsia="Courier New" w:hAnsi="Courier New"/>
          <w:sz w:val="16"/>
          <w:szCs w:val="16"/>
          <w:color w:val="auto"/>
        </w:rPr>
        <w:t>Company will have the right, under certain circumstances, to cap the number of additional shares by purchasing part of the entitlement from the Fund at a purchase price based on the market price of such shares. The Fund also received a five-year warrant to purchase up to 101,587 shares of common stock at $4.725 per share. This warrant is callable at any time by StemCells at $7.875 per underlying share. The calculated value of this callable warrant using the Black-Scholes method is $376,888, which the Company accounts for as stock issuance cost that has no impact on stockholders' equity. The Company has accounted for the sale of the stock and warrants by adding that portion of the proceeds equal to the par value of the new shares to common stock and the balance, including the value of the warrants, to additional paid in capital. In addition, any repurchase of the shares by the Company would also be accounted for through additional paid in capital.</w:t>
      </w:r>
    </w:p>
    <w:p>
      <w:pPr>
        <w:spacing w:after="0" w:line="187"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In the Purchase Agreement governing the August 3, 2000 sale to the Fund, the Company granted the Fund an option to purchase up to an additional $3 million of its common stock and a callable warrant and an adjustable warrant. The Fund can exercise this option in whole or in part at any time prior to August 3, 2001. The price per share of common stock to be issued upon exercise of the option will be based on the average market price of the common stock for a five-day period prior to the date on which the option is exercised. On August 23, 2000, the Fund exercised $1,000,000 of its option to purchase additional common stock. The Fund purchased the Company's common stock at $5.53 per share, which amount was based upon the average market price of the common stock for the five-day period prior to August 23, 2000. An adjustable warrant similar to the one issued on August 3, 2000 was issued to the Fund on August 30, 2000, but was cancelled on November 1, 2000 by agreement of the Company and the Fund. The Fund also received a five -year warrant to purchase up to 19,900 shares of common stock at $6.03 per share. This warrant is callable by the Company at any time at $10.05 per underlying share. The calculated value of this callable warrant using the Black-Scholes method is $139,897, which the Company accounts for as stock issuance cost that has no impact on stockholders' equity.</w:t>
      </w:r>
    </w:p>
    <w:p>
      <w:pPr>
        <w:spacing w:after="0" w:line="186" w:lineRule="exact"/>
        <w:rPr>
          <w:sz w:val="20"/>
          <w:szCs w:val="20"/>
          <w:color w:val="auto"/>
        </w:rPr>
      </w:pPr>
    </w:p>
    <w:p>
      <w:pPr>
        <w:ind w:right="2799" w:firstLine="880"/>
        <w:spacing w:after="0" w:line="249" w:lineRule="auto"/>
        <w:rPr>
          <w:sz w:val="20"/>
          <w:szCs w:val="20"/>
          <w:color w:val="auto"/>
        </w:rPr>
      </w:pPr>
      <w:r>
        <w:rPr>
          <w:rFonts w:ascii="Courier New" w:cs="Courier New" w:eastAsia="Courier New" w:hAnsi="Courier New"/>
          <w:sz w:val="16"/>
          <w:szCs w:val="16"/>
          <w:color w:val="auto"/>
        </w:rPr>
        <w:t>The adjustable warrant contains provisions regarding the adjustment or replacement of the warrants in the event of stock splits, mergers, tender offers and other similar events. The adjustable warrant also limits the number of shares that can be beneficially owned by the Fund to 9.99% of the total number of outstanding shares of Common Stock.</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7. LEASES</w:t>
      </w:r>
    </w:p>
    <w:p>
      <w:pPr>
        <w:spacing w:after="0" w:line="195"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As of February 1, 2001, the Company entered into a 5-year lease for a 40,000 square foot facility located in the Stanford Research Park in Palo Alto, California. The new facility includes animal space, laboratories, offices, and a GMP (Good Manufacturing Practices) suite. GMP facilities can be used to manufacture materials for clinical trials. The rent will average approximately $3.2 million per year over the term of the lease. The company paid $1.2 million upfront related to this new lease. Approximately $909,000 of this payment has been recorded as prepaid rent and is being amortized over seven months. The Company continues to lease the facilities in Lincoln, Rhode Island obtained in connection with its former encapsulated cell technology, but has now succeeded in subleasing parts of those facilities: the 3,000 square-foot cell processing facility and approximately one-third of its former scientific and administrative</w:t>
      </w:r>
    </w:p>
    <w:p>
      <w:pPr>
        <w:spacing w:after="0" w:line="37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80" w:right="1440" w:bottom="1440" w:gutter="0" w:footer="0" w:header="0"/>
        </w:sectPr>
      </w:pPr>
    </w:p>
    <w:bookmarkStart w:id="7" w:name="page8"/>
    <w:bookmarkEnd w:id="7"/>
    <w:p>
      <w:pPr>
        <w:ind w:right="2979"/>
        <w:spacing w:after="0" w:line="249" w:lineRule="auto"/>
        <w:rPr>
          <w:sz w:val="20"/>
          <w:szCs w:val="20"/>
          <w:color w:val="auto"/>
        </w:rPr>
      </w:pPr>
      <w:r>
        <w:rPr>
          <w:rFonts w:ascii="Courier New" w:cs="Courier New" w:eastAsia="Courier New" w:hAnsi="Courier New"/>
          <w:sz w:val="16"/>
          <w:szCs w:val="16"/>
          <w:color w:val="auto"/>
        </w:rPr>
        <w:t>facility ("SAF"). The Company continues to seek to sublet the remainder of the approximately 65,000 square foot SAF and the 21,000 square-foot pilot manufacturing facility, or to assign or sell its interests in these properties. There can be no assurance however, that we will be able to dispose of these properties in a reasonable time, if at all.</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8. GRANT</w:t>
      </w:r>
    </w:p>
    <w:p>
      <w:pPr>
        <w:spacing w:after="0" w:line="195"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In February 2001, the Company was awarded a two-year, $300,000 per year grant from the NIH's Small Business Innovation Research (SBIR) office. The grant, which will support joint work with virologist Dr. Jeffrey Glenn at Stanford University, is aimed at characterizing the human cells that can be infected by human hepatitis viruses and to develop a small animal model using the cells that are most infectable by these viruses to develop screening assays and identify novel drug for the disease. The company received and recognized as revenue $100,000 from a prior SBIR grant relating to the neural program.</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9. SUBSEQUENT EVENTS</w:t>
      </w:r>
    </w:p>
    <w:p>
      <w:pPr>
        <w:spacing w:after="0" w:line="195"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On April 30, 2001, StemCells sold its remaining 103,577 shares of Modex Therapeutics at 87.3 Swiss francs per share, or $50.51 per share at the exchange rate on that date, for total proceeds of $5,232,168 net of commissions and other fees. In addition, on April 30, 2001, in consideration for $300,000 received from Modex and the assistance of Modex in executing the sale of StemCells holding of Modex shares, StemCells agreed to assign to Modex the rights concerning future payments under the Asset Purchase and License Agreement between StemCells, Inc. and Neurotech SA, by which Neurotech SA purchased the Company's former encapsulated cell therapy technology.</w:t>
      </w:r>
    </w:p>
    <w:p>
      <w:pPr>
        <w:spacing w:after="0" w:line="375" w:lineRule="exact"/>
        <w:rPr>
          <w:sz w:val="20"/>
          <w:szCs w:val="20"/>
          <w:color w:val="auto"/>
        </w:rPr>
      </w:pPr>
    </w:p>
    <w:p>
      <w:pPr>
        <w:ind w:right="2799" w:firstLine="880"/>
        <w:spacing w:after="0" w:line="250" w:lineRule="auto"/>
        <w:rPr>
          <w:sz w:val="20"/>
          <w:szCs w:val="20"/>
          <w:color w:val="auto"/>
        </w:rPr>
      </w:pPr>
      <w:r>
        <w:rPr>
          <w:rFonts w:ascii="Courier New" w:cs="Courier New" w:eastAsia="Courier New" w:hAnsi="Courier New"/>
          <w:sz w:val="16"/>
          <w:szCs w:val="16"/>
          <w:color w:val="auto"/>
        </w:rPr>
        <w:t>On April 27, 2001, the Company reached an agreement to terminate as of May 15, 2001, without cost, its lease on part of its former Sunnyvale headquarters.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10. RECENT ACCOUNTING PRONOUNCEMENT</w:t>
      </w:r>
    </w:p>
    <w:p>
      <w:pPr>
        <w:spacing w:after="0" w:line="195"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In June 1998, The Financial Accounting Standards Board issued Statement of Financial Accounting Standards No. 133, "Accounting for Derivative Financial Instruments and for Hedging Activities" ("SFAS 133"). The Statement requires the Company to recognize all derivatives on the balance sheet at fair value. Derivatives that are not hedges must be adjusted to fair value through income. If the derivative is a hedge, depending on the nature of the hedge, changes in fair value of derivatives are either offset against the change in fair value of assets, liabilities, or firm commitments through earnings or recognized in other comprehensive income until the hedged item is recognized in earnings. As the Company had no derivative instruments and does not currently engage in hedging activities, the adoption of Statement No. 133 on January 1, 2001 had no impact on StemCells results, operations or financial statement.</w:t>
      </w:r>
    </w:p>
    <w:p>
      <w:pPr>
        <w:spacing w:after="0" w:line="18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MANAGEMENT'S DISCUSSION AND ANALYSIS</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OF FINANCIAL CONDITION AND RESULTS OF OPERATIONS</w:t>
      </w:r>
    </w:p>
    <w:p>
      <w:pPr>
        <w:spacing w:after="0" w:line="38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80" w:right="1440" w:bottom="1440" w:gutter="0" w:footer="0" w:header="0"/>
        </w:sectPr>
      </w:pPr>
    </w:p>
    <w:bookmarkStart w:id="8" w:name="page9"/>
    <w:bookmarkEnd w:id="8"/>
    <w:p>
      <w:pPr>
        <w:ind w:right="2799" w:firstLine="880"/>
        <w:spacing w:after="0" w:line="249" w:lineRule="auto"/>
        <w:rPr>
          <w:sz w:val="20"/>
          <w:szCs w:val="20"/>
          <w:color w:val="auto"/>
        </w:rPr>
      </w:pPr>
      <w:r>
        <w:rPr>
          <w:rFonts w:ascii="Courier New" w:cs="Courier New" w:eastAsia="Courier New" w:hAnsi="Courier New"/>
          <w:sz w:val="16"/>
          <w:szCs w:val="16"/>
          <w:color w:val="auto"/>
        </w:rPr>
        <w:t>The following discussion of the financial condition and results of operations of the Company for the three months ended March 31, 2001 and 2000 should be read in conjunction with the accompanying unaudited condensed consolidated financial statements and the related footnotes thereto.</w:t>
      </w:r>
    </w:p>
    <w:p>
      <w:pPr>
        <w:spacing w:after="0" w:line="188"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This report includes forward-looking statements. You can identify these statements by forward-looking words such as "may," "will," "possibly," "expect," "anticipate," "project," "believe," "estimate" and "continue" or similar words. You should read statements that contain these words carefully because they discuss our future expectations, contain projections of our future results of operations or of our financial condition, or state other "forward-looking" information. We believe that it is important to communicate our future expectations to our investors. However, there will be events in the future that we have not been able to accurately predict or control and that may cause our actual results to differ materially from those discussed. For example, contaminations at our facilities, changes in the pharmaceutical or biotechnology industries, competition and changes in government regulations or general economic or market conditions could all have significant effects on our results. These factors should be considered carefully and readers should not place undue reliance on our forward-looking statements. Before you invest in our common stock, you should be aware that the occurrence of the events described in the "Cautionary Factors Relevant to Forward Looking Information" and "Business" sections included in our Form 10-K/A report, as of December 31, 2000 could harm our business, operating results and financial condition. All forward looking statements attributable to us or persons acting on our behalf are expressly qualified in their entirety by the cautionary statements and risk factors contained or referred to herein.</w:t>
      </w:r>
    </w:p>
    <w:p>
      <w:pPr>
        <w:spacing w:after="0" w:line="374"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OVERVIEW</w:t>
      </w:r>
    </w:p>
    <w:p>
      <w:pPr>
        <w:spacing w:after="0" w:line="195"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Since our inception in 1988, we have been primarily engaged in research and development of human therapeutic products. As a result of a restructuring in the second half of 1999, our sole focus is now on our stem cell technology. In1999, by contrast, our corporate headquarters, most of our employees, and the main focus of our operations were primarily devoted to a different technology--encapsulated cell therapy, or ECT. Since that time, we terminated a clinical trial of the ECT then in progress, we wound down our other operations relating to the ECT, we terminated the employment of those who worked on the ECT, we sold the ECT and we relocated from Rhode Island to California. The year 2000 was a year of transition, in which we completed the consolidation and restructuring of our operations. Comparisons with the previous year's results are correspondingly less meaningful than they may be under other circumstances.</w:t>
      </w:r>
    </w:p>
    <w:p>
      <w:pPr>
        <w:spacing w:after="0" w:line="187"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We have not derived any revenues from the sale of any products, and we do not expect to receive revenues from product sales for at least several years. We have not commercialized any product and in order to do so we must, among other things, substantially increase our research and development expenditures as research and product development efforts accelerate and clinical trials are initiated. We have incurred annual operating losses since inception and expect to incur substantial operating losses in the future. As a result, we are dependent upon external</w:t>
      </w:r>
    </w:p>
    <w:p>
      <w:pPr>
        <w:spacing w:after="0" w:line="37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80" w:right="1440" w:bottom="1440" w:gutter="0" w:footer="0" w:header="0"/>
        </w:sectPr>
      </w:pPr>
    </w:p>
    <w:bookmarkStart w:id="9" w:name="page10"/>
    <w:bookmarkEnd w:id="9"/>
    <w:p>
      <w:pPr>
        <w:ind w:right="2799"/>
        <w:spacing w:after="0" w:line="249" w:lineRule="auto"/>
        <w:rPr>
          <w:sz w:val="20"/>
          <w:szCs w:val="20"/>
          <w:color w:val="auto"/>
        </w:rPr>
      </w:pPr>
      <w:r>
        <w:rPr>
          <w:rFonts w:ascii="Courier New" w:cs="Courier New" w:eastAsia="Courier New" w:hAnsi="Courier New"/>
          <w:sz w:val="16"/>
          <w:szCs w:val="16"/>
          <w:color w:val="auto"/>
        </w:rPr>
        <w:t>financing from equity and debt offerings and revenues from collaborative research arrangements with corporate sponsors to finance our operations. There are no such collaborative research arrangements at this time and there can be no assurance that such financing or partnering revenues will be available when needed or on terms acceptable to us.</w:t>
      </w:r>
    </w:p>
    <w:p>
      <w:pPr>
        <w:spacing w:after="0" w:line="187"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Our results of operations have varied significantly from year to year and quarter to quarter and may vary significantly in the future due to the occurrence of material, nonrecurring events, including without limitation the receipt of one-time, nonrecurring licensing payments, and the initiation or termination of research collaborations, in addition to the winding-down of terminated research and development programs referred to above.</w:t>
      </w:r>
    </w:p>
    <w:p>
      <w:pPr>
        <w:spacing w:after="0" w:line="187"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RESULTS OF OPERATIONS</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THREE MONTHS ENDED MARCH 31, 2001 AND 2000</w:t>
      </w:r>
    </w:p>
    <w:p>
      <w:pPr>
        <w:spacing w:after="0" w:line="195" w:lineRule="exact"/>
        <w:rPr>
          <w:sz w:val="20"/>
          <w:szCs w:val="20"/>
          <w:color w:val="auto"/>
        </w:rPr>
      </w:pPr>
    </w:p>
    <w:p>
      <w:pPr>
        <w:ind w:right="2799" w:firstLine="880"/>
        <w:spacing w:after="0" w:line="250" w:lineRule="auto"/>
        <w:rPr>
          <w:sz w:val="20"/>
          <w:szCs w:val="20"/>
          <w:color w:val="auto"/>
        </w:rPr>
      </w:pPr>
      <w:r>
        <w:rPr>
          <w:rFonts w:ascii="Courier New" w:cs="Courier New" w:eastAsia="Courier New" w:hAnsi="Courier New"/>
          <w:sz w:val="16"/>
          <w:szCs w:val="16"/>
          <w:color w:val="auto"/>
        </w:rPr>
        <w:t>For the three months ended March 31, 2001, revenues from grants totaled $100,000. There was no such revenue for the three months ended March 31, 2000.</w:t>
      </w:r>
    </w:p>
    <w:p>
      <w:pPr>
        <w:spacing w:after="0" w:line="185"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On January 9, 2001, the Company sold 22,616 Modex shares for a net price of 182.00 Swiss francs per share, which converts to $112.76 per share, for total proceeds and a realized gain of $2,550,000. In connection with this sale, the Company agreed not to resell any more of its Modex shares until April 12, 2001.</w:t>
      </w:r>
    </w:p>
    <w:p>
      <w:pPr>
        <w:spacing w:after="0" w:line="187" w:lineRule="exact"/>
        <w:rPr>
          <w:sz w:val="20"/>
          <w:szCs w:val="20"/>
          <w:color w:val="auto"/>
        </w:rPr>
      </w:pPr>
    </w:p>
    <w:p>
      <w:pPr>
        <w:ind w:right="2879" w:firstLine="880"/>
        <w:spacing w:after="0" w:line="249" w:lineRule="auto"/>
        <w:rPr>
          <w:sz w:val="20"/>
          <w:szCs w:val="20"/>
          <w:color w:val="auto"/>
        </w:rPr>
      </w:pPr>
      <w:r>
        <w:rPr>
          <w:rFonts w:ascii="Courier New" w:cs="Courier New" w:eastAsia="Courier New" w:hAnsi="Courier New"/>
          <w:sz w:val="16"/>
          <w:szCs w:val="16"/>
          <w:color w:val="auto"/>
        </w:rPr>
        <w:t>Research and development expenses totaled $1,644,257 for the three months ended March 31, 2001, compared with $906,632 for the same period in 2000. The increase of $737,625 or 81% from 2000 to 2001 was primarily attributable to the related costs of an increase in personnel from 11 full time employees to 19 full time employees to facilitate the expansion of our research programs and initiate development and the cost of leasing a larger facility.</w:t>
      </w:r>
    </w:p>
    <w:p>
      <w:pPr>
        <w:spacing w:after="0" w:line="187" w:lineRule="exact"/>
        <w:rPr>
          <w:sz w:val="20"/>
          <w:szCs w:val="20"/>
          <w:color w:val="auto"/>
        </w:rPr>
      </w:pPr>
    </w:p>
    <w:p>
      <w:pPr>
        <w:ind w:right="2799" w:firstLine="880"/>
        <w:spacing w:after="0" w:line="249" w:lineRule="auto"/>
        <w:rPr>
          <w:sz w:val="20"/>
          <w:szCs w:val="20"/>
          <w:color w:val="auto"/>
        </w:rPr>
      </w:pPr>
      <w:r>
        <w:rPr>
          <w:rFonts w:ascii="Courier New" w:cs="Courier New" w:eastAsia="Courier New" w:hAnsi="Courier New"/>
          <w:sz w:val="16"/>
          <w:szCs w:val="16"/>
          <w:color w:val="auto"/>
        </w:rPr>
        <w:t>General and administrative expenses were $996,862 for the three months ended March 31, 2001, compared with $657,714 for the same period in 2000. The increase of $339,148, or 52%, from 2000 to 2001 was primarily attributable to the related costs of an increase in personnel from 5 full time employees to 8 full time employees, which included the hiring of senior management personnel as part of the restructuring and consolidation of our operations in California and the cost of leasing a larger facility.</w:t>
      </w:r>
    </w:p>
    <w:p>
      <w:pPr>
        <w:spacing w:after="0" w:line="187"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Wind-down expenses related to our ECT research, our Rhode Island operations and the transfer of our headquarters to Sunnyvale, California for the three months ended March 31, 2000 were $234,386. In December 2000, we created a reserve of $1,780,578 related to the carrying costs for the Rhode Island facilities through 2001. At March 31, 2001 the reserve was $1,381,946.</w:t>
      </w:r>
    </w:p>
    <w:p>
      <w:pPr>
        <w:spacing w:after="0" w:line="187"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Interest income for the three months ended March 31, 2001 and 2000 was $79,041 and $73,332 respectively. Interest expense of $64,460 for the three months ended March 31, 2001 was booked against the wind-down reserve created in 2000 for the whole of 2001, as the expense</w:t>
      </w:r>
    </w:p>
    <w:p>
      <w:pPr>
        <w:spacing w:after="0" w:line="37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80" w:right="1440" w:bottom="1440" w:gutter="0" w:footer="0" w:header="0"/>
        </w:sectPr>
      </w:pPr>
    </w:p>
    <w:bookmarkStart w:id="10" w:name="page11"/>
    <w:bookmarkEnd w:id="10"/>
    <w:p>
      <w:pPr>
        <w:ind w:right="2699"/>
        <w:spacing w:after="0" w:line="249" w:lineRule="auto"/>
        <w:rPr>
          <w:sz w:val="20"/>
          <w:szCs w:val="20"/>
          <w:color w:val="auto"/>
        </w:rPr>
      </w:pPr>
      <w:r>
        <w:rPr>
          <w:rFonts w:ascii="Courier New" w:cs="Courier New" w:eastAsia="Courier New" w:hAnsi="Courier New"/>
          <w:sz w:val="16"/>
          <w:szCs w:val="16"/>
          <w:color w:val="auto"/>
        </w:rPr>
        <w:t>was part of the bond payments related to the Rhode Island facilities. Interest expense for the same period in 2000 was $68,858. The decrease in 2001 was attributable to lower outstanding debt and capital lease balances in 2001 compared to 2000.</w:t>
      </w:r>
    </w:p>
    <w:p>
      <w:pPr>
        <w:spacing w:after="0" w:line="188" w:lineRule="exact"/>
        <w:rPr>
          <w:sz w:val="20"/>
          <w:szCs w:val="20"/>
          <w:color w:val="auto"/>
        </w:rPr>
      </w:pPr>
    </w:p>
    <w:p>
      <w:pPr>
        <w:jc w:val="both"/>
        <w:ind w:right="2699" w:firstLine="880"/>
        <w:spacing w:after="0" w:line="250" w:lineRule="auto"/>
        <w:rPr>
          <w:sz w:val="20"/>
          <w:szCs w:val="20"/>
          <w:color w:val="auto"/>
        </w:rPr>
      </w:pPr>
      <w:r>
        <w:rPr>
          <w:rFonts w:ascii="Courier New" w:cs="Courier New" w:eastAsia="Courier New" w:hAnsi="Courier New"/>
          <w:sz w:val="16"/>
          <w:szCs w:val="16"/>
          <w:color w:val="auto"/>
        </w:rPr>
        <w:t>Other income for the three months ended March 31, 2001 was $180,389, which was a refund from the Citizens Bank of Rhode Island for an overpayment of property taxes in prior years.</w:t>
      </w:r>
    </w:p>
    <w:p>
      <w:pPr>
        <w:spacing w:after="0" w:line="18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Net income (loss) for the three months ended March 31, 2001 was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$268,541 or $0.01 per share, as compared to net loss of ($1,794,258)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($0.09) per share, for the comparable period in 2000. The decrease in net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loss of $2,062,800 or 115% from the same period in 2000 was primarily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attributable to a realized gain of $2,550,230 from the sale of a portion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Modex investment, offset by an increase in expenses attributable to 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increase in personnel and the costs associated with our move to a larger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facility.</w:t>
      </w:r>
    </w:p>
    <w:p>
      <w:pPr>
        <w:spacing w:after="0" w:line="195"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5" w:lineRule="exact"/>
        <w:rPr>
          <w:sz w:val="20"/>
          <w:szCs w:val="20"/>
          <w:color w:val="auto"/>
        </w:rPr>
      </w:pPr>
    </w:p>
    <w:p>
      <w:pPr>
        <w:ind w:right="3079" w:firstLine="880"/>
        <w:spacing w:after="0" w:line="249" w:lineRule="auto"/>
        <w:rPr>
          <w:sz w:val="20"/>
          <w:szCs w:val="20"/>
          <w:color w:val="auto"/>
        </w:rPr>
      </w:pPr>
      <w:r>
        <w:rPr>
          <w:rFonts w:ascii="Courier New" w:cs="Courier New" w:eastAsia="Courier New" w:hAnsi="Courier New"/>
          <w:sz w:val="16"/>
          <w:szCs w:val="16"/>
          <w:color w:val="auto"/>
        </w:rPr>
        <w:t>Since our inception, we have financed our operations through the sale of common and preferred stock, the issuance of long-term debt and capitalized lease obligations, revenues from collaborative agreements, research grants and interest income.</w:t>
      </w:r>
    </w:p>
    <w:p>
      <w:pPr>
        <w:spacing w:after="0" w:line="188"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We had cash and cash equivalents totaling $4,499,000 at March 31, 2001. Cash equivalents are invested in money market funds. We also held shares of Modex Therapeutics Ltd ("Modex"), a Swiss biotechnology company that completed an initial public offering on June 23, 2000, and is publicly traded on the Swiss Neue Market exchange. We realized a gain in connection with the sale of a portion of our investment in Modex in the second quarter 2000 and first quarter of 2001 of $1,427,000 and $2,550,000 respectively. Our Modex stock had a fair market value of $8,412,000 on March 31, 2001. The fair market value of our Modex stock has varied significantly since the Modex public offering based on increases and decreases in the reported per share price, in Swiss francs, of the Modex stock and on foreign currency exchange rates. We had been prohibited under a lock-up agreement entered into at the time of Modex's secondary offering from selling any of our Modex holdings until December 23, 2000. On January 9, 2001, we sold 22,616 Modex shares for a net price of 182.00 Swiss francs per share, which converts to $112.76 per share, for total proceeds of $2,550,000. In connection with this sale, we agreed not to sell any more of our remaining 103,577 Modex shares until April 12, 2001. On April 30, 2001, StemCells sold its remaining 103,577 shares of Modex Therapeutics at 87.3 Swiss francs per share, or $50.51 per share at the exchange rate on that date, for total proceeds of $5,232,168 net of commissions and other fees. In addition, on April 30, 2001, the Company sold Modex Therapeutics its rights to future payments under the agreement between the Company and Neurotech S.A. by which it sold its former encapsulated cell therapy technology to Neurotech. StemCells received $300,000 for the rights to future payments.</w:t>
      </w:r>
    </w:p>
    <w:p>
      <w:pPr>
        <w:spacing w:after="0" w:line="186" w:lineRule="exact"/>
        <w:rPr>
          <w:sz w:val="20"/>
          <w:szCs w:val="20"/>
          <w:color w:val="auto"/>
        </w:rPr>
      </w:pPr>
    </w:p>
    <w:p>
      <w:pPr>
        <w:ind w:right="2799" w:firstLine="880"/>
        <w:spacing w:after="0" w:line="249" w:lineRule="auto"/>
        <w:rPr>
          <w:sz w:val="20"/>
          <w:szCs w:val="20"/>
          <w:color w:val="auto"/>
        </w:rPr>
      </w:pPr>
      <w:r>
        <w:rPr>
          <w:rFonts w:ascii="Courier New" w:cs="Courier New" w:eastAsia="Courier New" w:hAnsi="Courier New"/>
          <w:sz w:val="16"/>
          <w:szCs w:val="16"/>
          <w:color w:val="auto"/>
        </w:rPr>
        <w:t>We continue to have outstanding obligations in regard to our former facilities in Lincoln, Rhode Island, including lease payments and operating costs of approximately $1,200,000 per year associated with our former research laboratory and corporate headquarters building, and</w:t>
      </w:r>
    </w:p>
    <w:p>
      <w:pPr>
        <w:spacing w:after="0" w:line="37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80" w:right="1440" w:bottom="1440" w:gutter="0" w:footer="0" w:header="0"/>
        </w:sectPr>
      </w:pPr>
    </w:p>
    <w:bookmarkStart w:id="11" w:name="page12"/>
    <w:bookmarkEnd w:id="11"/>
    <w:p>
      <w:pPr>
        <w:ind w:right="2699"/>
        <w:spacing w:after="0" w:line="249" w:lineRule="auto"/>
        <w:rPr>
          <w:sz w:val="20"/>
          <w:szCs w:val="20"/>
          <w:color w:val="auto"/>
        </w:rPr>
      </w:pPr>
      <w:r>
        <w:rPr>
          <w:rFonts w:ascii="Courier New" w:cs="Courier New" w:eastAsia="Courier New" w:hAnsi="Courier New"/>
          <w:sz w:val="16"/>
          <w:szCs w:val="16"/>
          <w:color w:val="auto"/>
        </w:rPr>
        <w:t>debt service payments and operating costs of approximately $1,000,000 per year with respect to our pilot manufacturing and cell processing facility. We have subleased a portion of these facilities and are actively seeking to sublease, assign or sell our remaining interests in these facilities. Failure to do so within a reasonable period of time will have a material adverse effect on our liquidity and capital resources.</w:t>
      </w:r>
    </w:p>
    <w:p>
      <w:pPr>
        <w:spacing w:after="0" w:line="187"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On August 3, 2000, we completed a $4 million common stock financing transaction with Millennium Partners, LP, or the Fund, an investment fund with more than a billion dollars in assets under management. We received $3 million of the purchase price at the closing and received the remaining $1 million upon effectiveness of a registration statement covering the shares purchased by the Fund. The Fund purchased our common stock at $4.33 per share. The Fund became entitled, pursuant to an adjustable warrant issued in connection with the sale of common stock to the Fund, to receive 463,369 additional shares of common stock on January 27, 2001, and it has exercised its warrant as to such shares at $0.01 per share. The Fund may become entitled to receive additional shares every three months thereafter until October, 2002. The number of additional shares the Fund may be entitled to on each date will be based on the number of shares of common stock the Fund continues to hold on each date and the market price of our common stock over a period prior to each date. We will have the right, under certain circumstances, to cap the number of additional shares by purchasing part of the entitlement from the Fund. The Fund also received a warrant to purchase up to 101,587 shares of common stock at $4.725 per share. This warrant is callable by us at $7.875 per underlying share.</w:t>
      </w:r>
    </w:p>
    <w:p>
      <w:pPr>
        <w:spacing w:after="0" w:line="186"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In addition, the Fund has the option for twelve months to purchase up to $3 million of additional common stock. On August 23, 2000 the Fund exercised $1,000,000 of its option to purchase additional common stock at $5.53 per share. The Fund paid $750,000 of the purchase price in connection with the closing on August 30, 2000, and paid the remaining $250,000 upon effectiveness of a registration statement covering the shares owned by the Fund. At the closing on August 30, 2000, we issued to the Fund an adjustable warrant similar to the one issued on August 3, 2000. T his adjustable warrant was canceled by agreement between us and the Fund on November 1, 2000. The Fund also received a warrant to purchase up to 19,900 shares of common stock at $6.03 per share. This warrant is callable by us at $10.05 per underlying share.</w:t>
      </w:r>
    </w:p>
    <w:p>
      <w:pPr>
        <w:spacing w:after="0" w:line="187"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We have limited liquidity and capital resources and must obtain significant additional capital resources in the future in order to sustain our product development efforts, for acquisition of technologies and intellectual property rights, for preclinical and clinical testing of our anticipated products, pursuit of regulatory approvals, acquisition of capital equipment, laboratory and office facilities, establishment of production capabilities and for general and administrative expenses. Our ability to obtain additional capital will be substantially dependent on our ability to obtain partnering support for our stem cell technology and, in the near term, on our ability to realize proceeds from the sale, assignment or sublease of our facilities in Rhode Island. Failure to do so will have a material effect on our liquidity and capital resources. Until our operations generate significant revenues from product sales, we must rely on cash reserves and proceeds from equity and debt offerings, proceeds from the transfer or sale of our intellectual property rights, equipment, facilities or investments, government grants and funding from collaborative arrangements, if obtainable, to fund our operations.</w:t>
      </w:r>
    </w:p>
    <w:p>
      <w:pPr>
        <w:spacing w:after="0" w:line="200" w:lineRule="exact"/>
        <w:rPr>
          <w:sz w:val="20"/>
          <w:szCs w:val="20"/>
          <w:color w:val="auto"/>
        </w:rPr>
      </w:pPr>
    </w:p>
    <w:p>
      <w:pPr>
        <w:spacing w:after="0" w:line="36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80" w:right="1440" w:bottom="1440" w:gutter="0" w:footer="0" w:header="0"/>
        </w:sectPr>
      </w:pPr>
    </w:p>
    <w:bookmarkStart w:id="12" w:name="page13"/>
    <w:bookmarkEnd w:id="12"/>
    <w:p>
      <w:pPr>
        <w:ind w:right="2699" w:firstLine="880"/>
        <w:spacing w:after="0" w:line="249" w:lineRule="auto"/>
        <w:rPr>
          <w:sz w:val="20"/>
          <w:szCs w:val="20"/>
          <w:color w:val="auto"/>
        </w:rPr>
      </w:pPr>
      <w:r>
        <w:rPr>
          <w:rFonts w:ascii="Courier New" w:cs="Courier New" w:eastAsia="Courier New" w:hAnsi="Courier New"/>
          <w:sz w:val="16"/>
          <w:szCs w:val="16"/>
          <w:color w:val="auto"/>
        </w:rPr>
        <w:t>We intend to pursue opportunities to obtain additional financing in the future through equity and debt financings, grants and collaborative research arrangements. The source, timing and availability of any future financing will depend principally upon market conditions, interest rates and, more specifically, on our progress in our exploratory, preclinical and future clinical development programs. Lack of necessary funds may require us to delay, reduce or eliminate some or all of our research and product development programs or to license our potential products or technologies to third parties. Funding may not be available when needed--at all, or on terms acceptable to us. While our cash requirements may vary, as noted above, we currently expect that our existing capital resources, including income earned on invested capital, will be sufficient to fund our operations through December of 2001. Our cash requirements may vary, however, depending on numerous factors. Lack of necessary funds may require us to delay, scale back or eliminate some or all of our research and product development programs and/or our capital expenditures or to license our potential products or technologies to third parties.</w:t>
      </w:r>
    </w:p>
    <w:p>
      <w:pPr>
        <w:spacing w:after="0" w:line="186"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On May 11, 2001, we entered into a definitive agreement with an institutional investor to provide us with up to $30,000,000 in equity financing. Under the 30-month agreement, we will have the right, but not the obligation, to obtain the financing through the issuance of common stock to the investor in a series of periodic draw downs at a discount to the market price at the time of sale. The shares may be sold to the investor during this period at times and in amounts, subject to certain minimum and maximum volumes, determined at the our discretion. We have agreed to file a registration statement for resale of any shares purchased under this equity line and to maintain the effectiveness of the registration statement to permit the resale. If we choose to draw down on the equity line, it will use the proceeds of the financing for general corporate purposes.</w:t>
      </w:r>
    </w:p>
    <w:p>
      <w:pPr>
        <w:spacing w:after="0" w:line="187" w:lineRule="exact"/>
        <w:rPr>
          <w:sz w:val="20"/>
          <w:szCs w:val="20"/>
          <w:color w:val="auto"/>
        </w:rPr>
      </w:pPr>
    </w:p>
    <w:p>
      <w:pPr>
        <w:ind w:right="2799" w:firstLine="880"/>
        <w:spacing w:after="0" w:line="250" w:lineRule="auto"/>
        <w:rPr>
          <w:sz w:val="20"/>
          <w:szCs w:val="20"/>
          <w:color w:val="auto"/>
        </w:rPr>
      </w:pPr>
      <w:r>
        <w:rPr>
          <w:rFonts w:ascii="Courier New" w:cs="Courier New" w:eastAsia="Courier New" w:hAnsi="Courier New"/>
          <w:sz w:val="16"/>
          <w:szCs w:val="16"/>
          <w:color w:val="auto"/>
        </w:rPr>
        <w:t>In connection with the entry into the equity line agreement, we issued a three-year stock purchase warrant to the investor to purchase up to an additional 250,000 shares of our common stock.</w:t>
      </w:r>
    </w:p>
    <w:p>
      <w:pPr>
        <w:spacing w:after="0" w:line="185" w:lineRule="exact"/>
        <w:rPr>
          <w:sz w:val="20"/>
          <w:szCs w:val="20"/>
          <w:color w:val="auto"/>
        </w:rPr>
      </w:pPr>
    </w:p>
    <w:p>
      <w:pPr>
        <w:ind w:right="2799" w:firstLine="880"/>
        <w:spacing w:after="0" w:line="249" w:lineRule="auto"/>
        <w:rPr>
          <w:sz w:val="20"/>
          <w:szCs w:val="20"/>
          <w:color w:val="auto"/>
        </w:rPr>
      </w:pPr>
      <w:r>
        <w:rPr>
          <w:rFonts w:ascii="Courier New" w:cs="Courier New" w:eastAsia="Courier New" w:hAnsi="Courier New"/>
          <w:sz w:val="16"/>
          <w:szCs w:val="16"/>
          <w:color w:val="auto"/>
        </w:rPr>
        <w:t>The shares issued in connection with this equity financing may not be sold nor may offers to buy be accepted prior to the time a registration statement relating to the resale of the shares has been filed and becomes effective. This prospectus supplement shall not constitute an offer to sell or the solicitation of an offer to buy nor shall there be any sale of these securities in any state in which such offer, solicitation or sale would be unlawful prior to registration or qualification under the securities laws of any such state.</w:t>
      </w:r>
    </w:p>
    <w:p>
      <w:pPr>
        <w:spacing w:after="0" w:line="187"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QUANTITATIVE AND QUALITATIVE DISCLOSURES ABOUT MARKET RISK</w:t>
      </w:r>
    </w:p>
    <w:p>
      <w:pPr>
        <w:spacing w:after="0" w:line="195"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On March 31, 2001, we had an investment in common stock of Modex Therapeutics Ltd. (Modex), a Swiss Biotherapeutics company. Our value in this investment was subject to both equity price risk and foreign currency exchange risk. Modex shares were offered in an initial public offering ("IPO") on the Swiss Neue Market on June 23, 2000 at a price of 168.00 Swiss</w:t>
      </w:r>
    </w:p>
    <w:p>
      <w:pPr>
        <w:spacing w:after="0" w:line="37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80" w:right="1440" w:bottom="1440" w:gutter="0" w:footer="0" w:header="0"/>
        </w:sectPr>
      </w:pPr>
    </w:p>
    <w:bookmarkStart w:id="13" w:name="page14"/>
    <w:bookmarkEnd w:id="13"/>
    <w:p>
      <w:pPr>
        <w:ind w:right="4000"/>
        <w:spacing w:after="0" w:line="249" w:lineRule="auto"/>
        <w:rPr>
          <w:sz w:val="20"/>
          <w:szCs w:val="20"/>
          <w:color w:val="auto"/>
        </w:rPr>
      </w:pPr>
      <w:r>
        <w:rPr>
          <w:rFonts w:ascii="Courier New" w:cs="Courier New" w:eastAsia="Courier New" w:hAnsi="Courier New"/>
          <w:sz w:val="16"/>
          <w:szCs w:val="16"/>
          <w:color w:val="auto"/>
        </w:rPr>
        <w:t>francs. From the date of the IPO to March 9, 2001, the Modex closing share price has fluctuated from a high of 390.00 Swiss francs on October 6, 2000 to a low of 92.00 Swiss francs on April 27, 2001. On January 9, 2001, we sold 22,616 Modex shares for a net price of 182.00 Swiss francs per share, which converts to $112.76 per share, for total proceeds of $2,550,230. In connection with this sale, we agreed not to resell any more of our Modex shares until April 12, 2001. On March 31, 2001 the market price of Modex stock was 141.00 Swiss francs which converts to $81.22 using exchange rates on that date, which represented an estimated fair market value of $8,412,650.</w:t>
      </w:r>
    </w:p>
    <w:p>
      <w:pPr>
        <w:spacing w:after="0" w:line="187" w:lineRule="exact"/>
        <w:rPr>
          <w:sz w:val="20"/>
          <w:szCs w:val="20"/>
          <w:color w:val="auto"/>
        </w:rPr>
      </w:pPr>
    </w:p>
    <w:p>
      <w:pPr>
        <w:ind w:right="4100" w:firstLine="880"/>
        <w:spacing w:after="0" w:line="249" w:lineRule="auto"/>
        <w:rPr>
          <w:sz w:val="20"/>
          <w:szCs w:val="20"/>
          <w:color w:val="auto"/>
        </w:rPr>
      </w:pPr>
      <w:r>
        <w:rPr>
          <w:rFonts w:ascii="Courier New" w:cs="Courier New" w:eastAsia="Courier New" w:hAnsi="Courier New"/>
          <w:sz w:val="16"/>
          <w:szCs w:val="16"/>
          <w:color w:val="auto"/>
        </w:rPr>
        <w:t>On April 30, 2001, StemCells sold its remaining 103,577 shares of Modex Therapeutics at 87.3 Swiss francs per share, which converts to $ 50.51 per share at the exchange rate for that date, for total proceeds of approximately $5,232,168 net of commissions and other fees.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1520"/>
          </w:cols>
          <w:pgMar w:left="240" w:top="680" w:right="139" w:bottom="1440" w:gutter="0" w:footer="0" w:header="0"/>
        </w:sectPr>
      </w:pPr>
    </w:p>
    <w:p>
      <w:pPr>
        <w:spacing w:after="0" w:line="19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NO. OF SHARES</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0" w:lineRule="exact"/>
        <w:rPr>
          <w:sz w:val="20"/>
          <w:szCs w:val="20"/>
          <w:color w:val="auto"/>
        </w:rPr>
      </w:pPr>
      <w:r>
        <w:rPr>
          <w:sz w:val="20"/>
          <w:szCs w:val="20"/>
          <w:color w:val="auto"/>
        </w:rPr>
        <w:br w:type="column"/>
      </w:r>
    </w:p>
    <w:p>
      <w:pPr>
        <w:spacing w:after="0"/>
        <w:tabs>
          <w:tab w:leader="none" w:pos="4180" w:val="left"/>
        </w:tabs>
        <w:rPr>
          <w:sz w:val="20"/>
          <w:szCs w:val="20"/>
          <w:color w:val="auto"/>
        </w:rPr>
      </w:pPr>
      <w:r>
        <w:rPr>
          <w:rFonts w:ascii="Courier New" w:cs="Courier New" w:eastAsia="Courier New" w:hAnsi="Courier New"/>
          <w:sz w:val="16"/>
          <w:szCs w:val="16"/>
          <w:color w:val="auto"/>
        </w:rPr>
        <w:t>ASSOCIATED RISKS</w:t>
      </w:r>
      <w:r>
        <w:rPr>
          <w:sz w:val="20"/>
          <w:szCs w:val="20"/>
          <w:color w:val="auto"/>
        </w:rPr>
        <w:tab/>
      </w:r>
      <w:r>
        <w:rPr>
          <w:rFonts w:ascii="Courier New" w:cs="Courier New" w:eastAsia="Courier New" w:hAnsi="Courier New"/>
          <w:sz w:val="16"/>
          <w:szCs w:val="16"/>
          <w:color w:val="auto"/>
        </w:rPr>
        <w:t>MARKET</w:t>
      </w:r>
    </w:p>
    <w:p>
      <w:pPr>
        <w:spacing w:after="0" w:line="7" w:lineRule="exact"/>
        <w:rPr>
          <w:sz w:val="20"/>
          <w:szCs w:val="20"/>
          <w:color w:val="auto"/>
        </w:rPr>
      </w:pPr>
    </w:p>
    <w:p>
      <w:pPr>
        <w:ind w:left="300"/>
        <w:spacing w:after="0"/>
        <w:tabs>
          <w:tab w:leader="none" w:pos="3600" w:val="left"/>
        </w:tabs>
        <w:rPr>
          <w:sz w:val="20"/>
          <w:szCs w:val="20"/>
          <w:color w:val="auto"/>
        </w:rPr>
      </w:pPr>
      <w:r>
        <w:rPr>
          <w:rFonts w:ascii="Courier New" w:cs="Courier New" w:eastAsia="Courier New" w:hAnsi="Courier New"/>
          <w:sz w:val="16"/>
          <w:szCs w:val="16"/>
          <w:color w:val="auto"/>
        </w:rPr>
        <w:t>VALUED AT</w:t>
      </w:r>
      <w:r>
        <w:rPr>
          <w:sz w:val="20"/>
          <w:szCs w:val="20"/>
          <w:color w:val="auto"/>
        </w:rPr>
        <w:tab/>
      </w:r>
      <w:r>
        <w:rPr>
          <w:rFonts w:ascii="Courier New" w:cs="Courier New" w:eastAsia="Courier New" w:hAnsi="Courier New"/>
          <w:sz w:val="16"/>
          <w:szCs w:val="16"/>
          <w:color w:val="auto"/>
        </w:rPr>
        <w:t>SALES PROCEEDS ON</w:t>
      </w:r>
    </w:p>
    <w:p>
      <w:pPr>
        <w:spacing w:after="0" w:line="7" w:lineRule="exact"/>
        <w:rPr>
          <w:sz w:val="20"/>
          <w:szCs w:val="20"/>
          <w:color w:val="auto"/>
        </w:rPr>
      </w:pPr>
    </w:p>
    <w:p>
      <w:pPr>
        <w:ind w:left="3040"/>
        <w:spacing w:after="0"/>
        <w:tabs>
          <w:tab w:leader="none" w:pos="5060" w:val="left"/>
        </w:tabs>
        <w:rPr>
          <w:sz w:val="20"/>
          <w:szCs w:val="20"/>
          <w:color w:val="auto"/>
        </w:rPr>
      </w:pPr>
      <w:r>
        <w:rPr>
          <w:rFonts w:ascii="Courier New" w:cs="Courier New" w:eastAsia="Courier New" w:hAnsi="Courier New"/>
          <w:sz w:val="16"/>
          <w:szCs w:val="16"/>
          <w:color w:val="auto"/>
        </w:rPr>
        <w:t>MARCH 31,</w:t>
      </w:r>
      <w:r>
        <w:rPr>
          <w:sz w:val="20"/>
          <w:szCs w:val="20"/>
          <w:color w:val="auto"/>
        </w:rPr>
        <w:tab/>
      </w:r>
      <w:r>
        <w:rPr>
          <w:rFonts w:ascii="Courier New" w:cs="Courier New" w:eastAsia="Courier New" w:hAnsi="Courier New"/>
          <w:sz w:val="16"/>
          <w:szCs w:val="16"/>
          <w:color w:val="auto"/>
        </w:rPr>
        <w:t>APRIL 30,</w:t>
      </w:r>
    </w:p>
    <w:p>
      <w:pPr>
        <w:spacing w:after="0" w:line="7" w:lineRule="exact"/>
        <w:rPr>
          <w:sz w:val="20"/>
          <w:szCs w:val="20"/>
          <w:color w:val="auto"/>
        </w:rPr>
      </w:pPr>
    </w:p>
    <w:p>
      <w:pPr>
        <w:ind w:left="3240"/>
        <w:spacing w:after="0"/>
        <w:tabs>
          <w:tab w:leader="none" w:pos="5260" w:val="left"/>
        </w:tabs>
        <w:rPr>
          <w:sz w:val="20"/>
          <w:szCs w:val="20"/>
          <w:color w:val="auto"/>
        </w:rPr>
      </w:pPr>
      <w:r>
        <w:rPr>
          <w:rFonts w:ascii="Courier New" w:cs="Courier New" w:eastAsia="Courier New" w:hAnsi="Courier New"/>
          <w:sz w:val="16"/>
          <w:szCs w:val="16"/>
          <w:color w:val="auto"/>
        </w:rPr>
        <w:t>2001</w:t>
      </w:r>
      <w:r>
        <w:rPr>
          <w:sz w:val="20"/>
          <w:szCs w:val="20"/>
          <w:color w:val="auto"/>
        </w:rPr>
        <w:tab/>
      </w:r>
      <w:r>
        <w:rPr>
          <w:rFonts w:ascii="Courier New" w:cs="Courier New" w:eastAsia="Courier New" w:hAnsi="Courier New"/>
          <w:sz w:val="16"/>
          <w:szCs w:val="16"/>
          <w:color w:val="auto"/>
        </w:rPr>
        <w:t>2001</w:t>
      </w:r>
    </w:p>
    <w:p>
      <w:pPr>
        <w:spacing w:after="0" w:line="7" w:lineRule="exact"/>
        <w:rPr>
          <w:sz w:val="20"/>
          <w:szCs w:val="20"/>
          <w:color w:val="auto"/>
        </w:rPr>
      </w:pPr>
    </w:p>
    <w:p>
      <w:pPr>
        <w:sectPr>
          <w:pgSz w:w="11900" w:h="16838" w:orient="portrait"/>
          <w:cols w:equalWidth="0" w:num="3">
            <w:col w:w="1620" w:space="720"/>
            <w:col w:w="1920" w:space="720"/>
            <w:col w:w="6540"/>
          </w:cols>
          <w:pgMar w:left="240" w:top="680" w:right="139"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20" w:type="dxa"/>
            <w:vAlign w:val="bottom"/>
          </w:tcPr>
          <w:p>
            <w:pPr>
              <w:jc w:val="right"/>
              <w:ind w:right="659"/>
              <w:spacing w:after="0"/>
              <w:rPr>
                <w:sz w:val="20"/>
                <w:szCs w:val="20"/>
                <w:color w:val="auto"/>
              </w:rPr>
            </w:pPr>
            <w:r>
              <w:rPr>
                <w:rFonts w:ascii="Courier New" w:cs="Courier New" w:eastAsia="Courier New" w:hAnsi="Courier New"/>
                <w:sz w:val="16"/>
                <w:szCs w:val="16"/>
                <w:color w:val="auto"/>
                <w:w w:val="98"/>
              </w:rPr>
              <w:t>103,577</w:t>
            </w:r>
          </w:p>
        </w:tc>
        <w:tc>
          <w:tcPr>
            <w:tcW w:w="2880" w:type="dxa"/>
            <w:vAlign w:val="bottom"/>
          </w:tcPr>
          <w:p>
            <w:pPr>
              <w:ind w:left="740"/>
              <w:spacing w:after="0"/>
              <w:rPr>
                <w:sz w:val="20"/>
                <w:szCs w:val="20"/>
                <w:color w:val="auto"/>
              </w:rPr>
            </w:pPr>
            <w:r>
              <w:rPr>
                <w:rFonts w:ascii="Courier New" w:cs="Courier New" w:eastAsia="Courier New" w:hAnsi="Courier New"/>
                <w:sz w:val="16"/>
                <w:szCs w:val="16"/>
                <w:color w:val="auto"/>
              </w:rPr>
              <w:t>Modex Therapeutics</w:t>
            </w:r>
          </w:p>
        </w:tc>
        <w:tc>
          <w:tcPr>
            <w:tcW w:w="3040" w:type="dxa"/>
            <w:vAlign w:val="bottom"/>
          </w:tcPr>
          <w:p>
            <w:pPr>
              <w:ind w:left="400"/>
              <w:spacing w:after="0"/>
              <w:rPr>
                <w:sz w:val="20"/>
                <w:szCs w:val="20"/>
                <w:color w:val="auto"/>
              </w:rPr>
            </w:pPr>
            <w:r>
              <w:rPr>
                <w:rFonts w:ascii="Courier New" w:cs="Courier New" w:eastAsia="Courier New" w:hAnsi="Courier New"/>
                <w:sz w:val="16"/>
                <w:szCs w:val="16"/>
                <w:color w:val="auto"/>
              </w:rPr>
              <w:t>Equity/Foreign</w:t>
            </w:r>
          </w:p>
        </w:tc>
        <w:tc>
          <w:tcPr>
            <w:tcW w:w="218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$8,412,650</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$5,232,168</w:t>
            </w:r>
          </w:p>
        </w:tc>
      </w:tr>
      <w:tr>
        <w:trPr>
          <w:trHeight w:val="188"/>
        </w:trPr>
        <w:tc>
          <w:tcPr>
            <w:tcW w:w="14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3040" w:type="dxa"/>
            <w:vAlign w:val="bottom"/>
          </w:tcPr>
          <w:p>
            <w:pPr>
              <w:ind w:left="400"/>
              <w:spacing w:after="0"/>
              <w:rPr>
                <w:sz w:val="20"/>
                <w:szCs w:val="20"/>
                <w:color w:val="auto"/>
              </w:rPr>
            </w:pPr>
            <w:r>
              <w:rPr>
                <w:rFonts w:ascii="Courier New" w:cs="Courier New" w:eastAsia="Courier New" w:hAnsi="Courier New"/>
                <w:sz w:val="16"/>
                <w:szCs w:val="16"/>
                <w:color w:val="auto"/>
              </w:rPr>
              <w:t>Currency Translation</w:t>
            </w:r>
          </w:p>
        </w:tc>
        <w:tc>
          <w:tcPr>
            <w:tcW w:w="2180" w:type="dxa"/>
            <w:vAlign w:val="bottom"/>
          </w:tcPr>
          <w:p>
            <w:pPr>
              <w:spacing w:after="0"/>
              <w:rPr>
                <w:sz w:val="16"/>
                <w:szCs w:val="16"/>
                <w:color w:val="auto"/>
              </w:rPr>
            </w:pPr>
          </w:p>
        </w:tc>
        <w:tc>
          <w:tcPr>
            <w:tcW w:w="1520" w:type="dxa"/>
            <w:vAlign w:val="bottom"/>
          </w:tcPr>
          <w:p>
            <w:pPr>
              <w:spacing w:after="0"/>
              <w:rPr>
                <w:sz w:val="16"/>
                <w:szCs w:val="16"/>
                <w:color w:val="auto"/>
              </w:rPr>
            </w:pPr>
          </w:p>
        </w:tc>
      </w:tr>
    </w:tbl>
    <w:p>
      <w:pPr>
        <w:spacing w:after="0" w:line="4" w:lineRule="exact"/>
        <w:rPr>
          <w:sz w:val="20"/>
          <w:szCs w:val="20"/>
          <w:color w:val="auto"/>
        </w:rPr>
      </w:pPr>
    </w:p>
    <w:p>
      <w:pPr>
        <w:ind w:left="200" w:hanging="200"/>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58" w:lineRule="exact"/>
        <w:rPr>
          <w:rFonts w:ascii="Courier New" w:cs="Courier New" w:eastAsia="Courier New" w:hAnsi="Courier New"/>
          <w:sz w:val="16"/>
          <w:szCs w:val="16"/>
          <w:color w:val="auto"/>
        </w:rPr>
      </w:pPr>
    </w:p>
    <w:p>
      <w:pPr>
        <w:ind w:left="37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-14-</w:t>
      </w:r>
    </w:p>
    <w:sectPr>
      <w:pgSz w:w="11900" w:h="16838" w:orient="portrait"/>
      <w:cols w:equalWidth="0" w:num="1">
        <w:col w:w="11520"/>
      </w:cols>
      <w:pgMar w:left="240" w:top="680"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2019-12-13T21:00:57Z</dcterms:created>
  <dcterms:modified xsi:type="dcterms:W3CDTF">2019-12-13T21:00:57Z</dcterms:modified>
</cp:coreProperties>
</file>