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July 18, 2008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333-151891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w:t>
      </w:r>
      <w:r>
        <w:rPr>
          <w:rFonts w:ascii="Arial" w:cs="Arial" w:eastAsia="Arial" w:hAnsi="Arial"/>
          <w:sz w:val="18"/>
          <w:szCs w:val="18"/>
          <w:b w:val="1"/>
          <w:bCs w:val="1"/>
          <w:color w:val="auto"/>
        </w:rPr>
        <w:t>-</w:t>
      </w:r>
      <w:r>
        <w:rPr>
          <w:rFonts w:ascii="Arial" w:cs="Arial" w:eastAsia="Arial" w:hAnsi="Arial"/>
          <w:sz w:val="12"/>
          <w:szCs w:val="12"/>
          <w:b w:val="1"/>
          <w:bCs w:val="1"/>
          <w:color w:val="auto"/>
        </w:rPr>
        <w:t>EFFECTIVE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S-3</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43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43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3"/>
              </w:rPr>
              <w:t>(State or other jurisdiction</w:t>
            </w:r>
          </w:p>
        </w:tc>
        <w:tc>
          <w:tcPr>
            <w:tcW w:w="3640" w:type="dxa"/>
            <w:vAlign w:val="bottom"/>
          </w:tcPr>
          <w:p>
            <w:pPr>
              <w:jc w:val="center"/>
              <w:ind w:left="18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4"/>
              </w:rPr>
              <w:t>of incorporation or organization)</w:t>
            </w:r>
          </w:p>
        </w:tc>
        <w:tc>
          <w:tcPr>
            <w:tcW w:w="3640" w:type="dxa"/>
            <w:vAlign w:val="bottom"/>
          </w:tcPr>
          <w:p>
            <w:pPr>
              <w:jc w:val="center"/>
              <w:ind w:left="189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B. Stratton,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i w:val="1"/>
          <w:iCs w:val="1"/>
          <w:color w:val="auto"/>
        </w:rPr>
        <w:t>(Name, address, including zip code, and telephone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Geoffrey Davis,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9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effectiveness of the Registration Statement.</w:t>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437" w:gutter="0" w:footer="0" w:header="0"/>
        </w:sectPr>
      </w:pPr>
    </w:p>
    <w:p>
      <w:pPr>
        <w:spacing w:after="0" w:line="147" w:lineRule="exact"/>
        <w:rPr>
          <w:sz w:val="24"/>
          <w:szCs w:val="24"/>
          <w:color w:val="auto"/>
        </w:rPr>
      </w:pPr>
    </w:p>
    <w:p>
      <w:pPr>
        <w:ind w:left="30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30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20" w:lineRule="exact"/>
        <w:rPr>
          <w:sz w:val="24"/>
          <w:szCs w:val="24"/>
          <w:color w:val="auto"/>
        </w:rPr>
      </w:pPr>
    </w:p>
    <w:p>
      <w:pPr>
        <w:sectPr>
          <w:pgSz w:w="11900" w:h="16838" w:orient="portrait"/>
          <w:cols w:equalWidth="0" w:num="2">
            <w:col w:w="5660" w:space="720"/>
            <w:col w:w="5040"/>
          </w:cols>
          <w:pgMar w:left="240" w:top="449" w:right="239" w:bottom="437" w:gutter="0" w:footer="0" w:header="0"/>
          <w:type w:val="continuous"/>
        </w:sectPr>
      </w:pPr>
    </w:p>
    <w:p>
      <w:pPr>
        <w:ind w:right="20" w:firstLine="225"/>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Security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476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449" w:right="239" w:bottom="43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StemCells, Inc. hereby amends Item 16 of Part II of the Registration Statement solely to file certain exhibits to the Registration Statement. This Pre-effective Amendment No. 1 to the Registration Statement does not modify any provision of Part I of the Registration Statement or Items 14, 15 or 17 of Part II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958" w:right="719" w:bottom="1440" w:gutter="0" w:footer="0" w:header="0"/>
        </w:sectPr>
      </w:pPr>
    </w:p>
    <w:bookmarkStart w:id="3" w:name="page4"/>
    <w:bookmarkEnd w:id="3"/>
    <w:p>
      <w:pPr>
        <w:ind w:left="5380"/>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II-3 of this registration statement.</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Pre-effective Amendment No. 1 to the registration statement on Form S-3 to be signed on its behalf by the undersigned, thereunto duly authorized, in the City of Palo Alto, State of California, on the 18th day of July, 2008.</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Martin M. McGlynn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Chief Executive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Pre-effective Amendment No. 1 to the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Martin M. McGlynn</w:t>
            </w:r>
          </w:p>
        </w:tc>
        <w:tc>
          <w:tcPr>
            <w:tcW w:w="5120" w:type="dxa"/>
            <w:vAlign w:val="bottom"/>
          </w:tcPr>
          <w:p>
            <w:pPr>
              <w:jc w:val="center"/>
              <w:ind w:right="210"/>
              <w:spacing w:after="0"/>
              <w:rPr>
                <w:sz w:val="20"/>
                <w:szCs w:val="20"/>
                <w:color w:val="auto"/>
              </w:rPr>
            </w:pPr>
            <w:r>
              <w:rPr>
                <w:rFonts w:ascii="Arial" w:cs="Arial" w:eastAsia="Arial" w:hAnsi="Arial"/>
                <w:sz w:val="18"/>
                <w:szCs w:val="18"/>
                <w:color w:val="auto"/>
                <w:w w:val="91"/>
              </w:rPr>
              <w:t>President and Chief Executive Officer and Director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Martin M. McGlynn</w:t>
            </w:r>
          </w:p>
        </w:tc>
        <w:tc>
          <w:tcPr>
            <w:tcW w:w="5120" w:type="dxa"/>
            <w:vAlign w:val="bottom"/>
          </w:tcPr>
          <w:p>
            <w:pPr>
              <w:jc w:val="center"/>
              <w:ind w:right="210"/>
              <w:spacing w:after="0"/>
              <w:rPr>
                <w:sz w:val="20"/>
                <w:szCs w:val="20"/>
                <w:color w:val="auto"/>
              </w:rPr>
            </w:pPr>
            <w:r>
              <w:rPr>
                <w:rFonts w:ascii="Arial" w:cs="Arial" w:eastAsia="Arial" w:hAnsi="Arial"/>
                <w:sz w:val="18"/>
                <w:szCs w:val="18"/>
                <w:color w:val="auto"/>
                <w:w w:val="94"/>
              </w:rPr>
              <w:t>(principal executive officer)</w:t>
            </w:r>
          </w:p>
        </w:tc>
        <w:tc>
          <w:tcPr>
            <w:tcW w:w="3000" w:type="dxa"/>
            <w:vAlign w:val="bottom"/>
          </w:tcPr>
          <w:p>
            <w:pPr>
              <w:spacing w:after="0"/>
              <w:rPr>
                <w:sz w:val="19"/>
                <w:szCs w:val="19"/>
                <w:color w:val="auto"/>
              </w:rPr>
            </w:pPr>
          </w:p>
        </w:tc>
      </w:tr>
      <w:tr>
        <w:trPr>
          <w:trHeight w:val="431"/>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Rodney K.B. Young</w:t>
            </w: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4"/>
              </w:rPr>
              <w:t>Chief Financial Officer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Rodney K.B. Young</w:t>
            </w: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6"/>
              </w:rPr>
              <w:t>(principal financial officer)</w:t>
            </w:r>
          </w:p>
        </w:tc>
        <w:tc>
          <w:tcPr>
            <w:tcW w:w="3000" w:type="dxa"/>
            <w:vAlign w:val="bottom"/>
          </w:tcPr>
          <w:p>
            <w:pPr>
              <w:spacing w:after="0"/>
              <w:rPr>
                <w:sz w:val="19"/>
                <w:szCs w:val="19"/>
                <w:color w:val="auto"/>
              </w:rPr>
            </w:pPr>
          </w:p>
        </w:tc>
      </w:tr>
      <w:tr>
        <w:trPr>
          <w:trHeight w:val="431"/>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Koshy</w:t>
            </w:r>
          </w:p>
        </w:tc>
        <w:tc>
          <w:tcPr>
            <w:tcW w:w="5120" w:type="dxa"/>
            <w:vAlign w:val="bottom"/>
          </w:tcPr>
          <w:p>
            <w:pPr>
              <w:jc w:val="center"/>
              <w:ind w:right="210"/>
              <w:spacing w:after="0"/>
              <w:rPr>
                <w:sz w:val="20"/>
                <w:szCs w:val="20"/>
                <w:color w:val="auto"/>
              </w:rPr>
            </w:pPr>
            <w:r>
              <w:rPr>
                <w:rFonts w:ascii="Arial" w:cs="Arial" w:eastAsia="Arial" w:hAnsi="Arial"/>
                <w:sz w:val="18"/>
                <w:szCs w:val="18"/>
                <w:color w:val="auto"/>
                <w:w w:val="95"/>
              </w:rPr>
              <w:t>Chief Accounting Officer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George Koshy</w:t>
            </w: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4"/>
              </w:rPr>
              <w:t>(principal accounting officer)</w:t>
            </w:r>
          </w:p>
        </w:tc>
        <w:tc>
          <w:tcPr>
            <w:tcW w:w="30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Eric Bjerkholt</w:t>
            </w: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Ricardo B. Levy, Ph.D.</w:t>
            </w: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Desmond H. O’Connell, Jr.</w:t>
            </w: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Roger M. Perlmutter, M.D.</w:t>
            </w: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20" w:type="dxa"/>
            <w:vAlign w:val="bottom"/>
          </w:tcPr>
          <w:p>
            <w:pPr>
              <w:jc w:val="center"/>
              <w:ind w:right="210"/>
              <w:spacing w:after="0"/>
              <w:rPr>
                <w:sz w:val="20"/>
                <w:szCs w:val="20"/>
                <w:color w:val="auto"/>
              </w:rPr>
            </w:pPr>
            <w:r>
              <w:rPr>
                <w:rFonts w:ascii="Arial" w:cs="Arial" w:eastAsia="Arial" w:hAnsi="Arial"/>
                <w:sz w:val="18"/>
                <w:szCs w:val="18"/>
                <w:color w:val="auto"/>
                <w:w w:val="92"/>
              </w:rPr>
              <w:t>Director, Chairman of the Board</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John J. Schwartz, Ph.D.</w:t>
            </w: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000" w:type="dxa"/>
            <w:vAlign w:val="bottom"/>
          </w:tcPr>
          <w:p>
            <w:pPr>
              <w:ind w:left="860"/>
              <w:spacing w:after="0"/>
              <w:rPr>
                <w:sz w:val="20"/>
                <w:szCs w:val="20"/>
                <w:color w:val="auto"/>
              </w:rPr>
            </w:pPr>
            <w:r>
              <w:rPr>
                <w:rFonts w:ascii="Arial" w:cs="Arial" w:eastAsia="Arial" w:hAnsi="Arial"/>
                <w:sz w:val="18"/>
                <w:szCs w:val="18"/>
                <w:color w:val="auto"/>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Irving L. Weissman, M.D.</w:t>
            </w: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607"/>
        </w:trPr>
        <w:tc>
          <w:tcPr>
            <w:tcW w:w="3300" w:type="dxa"/>
            <w:vAlign w:val="bottom"/>
            <w:gridSpan w:val="3"/>
          </w:tcPr>
          <w:p>
            <w:pPr>
              <w:spacing w:after="0"/>
              <w:rPr>
                <w:sz w:val="20"/>
                <w:szCs w:val="20"/>
                <w:color w:val="auto"/>
              </w:rPr>
            </w:pPr>
            <w:r>
              <w:rPr>
                <w:rFonts w:ascii="Arial" w:cs="Arial" w:eastAsia="Arial" w:hAnsi="Arial"/>
                <w:sz w:val="18"/>
                <w:szCs w:val="18"/>
                <w:color w:val="auto"/>
              </w:rPr>
              <w:t>*By: /s/Rodney K.B. Young</w:t>
            </w:r>
          </w:p>
        </w:tc>
        <w:tc>
          <w:tcPr>
            <w:tcW w:w="51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Rodney K.B. Young</w:t>
            </w:r>
          </w:p>
        </w:tc>
        <w:tc>
          <w:tcPr>
            <w:tcW w:w="12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51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621"/>
        </w:trPr>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120" w:type="dxa"/>
            <w:vAlign w:val="bottom"/>
          </w:tcPr>
          <w:p>
            <w:pPr>
              <w:jc w:val="center"/>
              <w:ind w:right="210"/>
              <w:spacing w:after="0"/>
              <w:rPr>
                <w:sz w:val="20"/>
                <w:szCs w:val="20"/>
                <w:color w:val="auto"/>
              </w:rPr>
            </w:pPr>
            <w:r>
              <w:rPr>
                <w:rFonts w:ascii="Arial" w:cs="Arial" w:eastAsia="Arial" w:hAnsi="Arial"/>
                <w:sz w:val="18"/>
                <w:szCs w:val="18"/>
                <w:color w:val="auto"/>
                <w:w w:val="99"/>
              </w:rPr>
              <w:t>II-2</w:t>
            </w:r>
          </w:p>
        </w:tc>
        <w:tc>
          <w:tcPr>
            <w:tcW w:w="3000" w:type="dxa"/>
            <w:vAlign w:val="bottom"/>
          </w:tcPr>
          <w:p>
            <w:pPr>
              <w:spacing w:after="0"/>
              <w:rPr>
                <w:sz w:val="24"/>
                <w:szCs w:val="24"/>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8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1420" w:type="dxa"/>
            <w:vAlign w:val="bottom"/>
            <w:gridSpan w:val="3"/>
          </w:tcPr>
          <w:p>
            <w:pPr>
              <w:ind w:left="220"/>
              <w:spacing w:after="0"/>
              <w:rPr>
                <w:sz w:val="20"/>
                <w:szCs w:val="20"/>
                <w:color w:val="auto"/>
              </w:rPr>
            </w:pPr>
            <w:r>
              <w:rPr>
                <w:rFonts w:ascii="Arial" w:cs="Arial" w:eastAsia="Arial" w:hAnsi="Arial"/>
                <w:sz w:val="18"/>
                <w:szCs w:val="18"/>
                <w:color w:val="auto"/>
              </w:rPr>
              <w:t>The following is a list of exhibits filed as part of this registration statement.</w:t>
            </w:r>
          </w:p>
        </w:tc>
      </w:tr>
      <w:tr>
        <w:trPr>
          <w:trHeight w:val="365"/>
        </w:trPr>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w w:val="99"/>
              </w:rPr>
              <w:t>Controlled Equity Offering Sales Agreement between StemCells, Inc. and Cantor Fitzgerald &amp; Co. dated December 26, 2006</w:t>
            </w:r>
          </w:p>
        </w:tc>
      </w:tr>
      <w:tr>
        <w:trPr>
          <w:trHeight w:val="296"/>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1.2(2)</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w w:val="98"/>
              </w:rPr>
              <w:t>Amendment No. 1 dated July 18, 2008 to the Controlled Equity Offering Sales Agreement between StemCells, Inc. and Cantor</w:t>
            </w:r>
          </w:p>
        </w:tc>
      </w:tr>
      <w:tr>
        <w:trPr>
          <w:trHeight w:val="230"/>
        </w:trPr>
        <w:tc>
          <w:tcPr>
            <w:tcW w:w="1000" w:type="dxa"/>
            <w:vAlign w:val="bottom"/>
          </w:tcPr>
          <w:p>
            <w:pPr>
              <w:spacing w:after="0"/>
              <w:rPr>
                <w:sz w:val="20"/>
                <w:szCs w:val="20"/>
                <w:color w:val="auto"/>
              </w:rPr>
            </w:pP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Fitzgerald &amp; Co. dated December 26, 2006</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4.1(3)</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Form of Common Stock Warrant Agreement and Warrant Certificate</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4.2(3)</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Form of Preferred Stock Warrant Agreement and Warrant Certificate</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4.3(3)</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Form of Debt Securities Warrant Agreement and Warrant Certificate</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4.4(4)</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Form of Indenture</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5.1(4)</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Opinion of Ropes &amp; Gray, LLP</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5.2(2)</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Opinion of Ropes &amp; Gray, LLP</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12.1(4)</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Statement re: Computation of Ratios</w:t>
            </w:r>
          </w:p>
        </w:tc>
      </w:tr>
      <w:tr>
        <w:trPr>
          <w:trHeight w:val="311"/>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23.1</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Consent of Ropes &amp; Gray LLP (included in Exhibits 5.1 and 5.2)</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23.2(4)</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Consent of Grant Thornton LLP</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24.1(4)</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Power of attorney</w:t>
            </w:r>
          </w:p>
        </w:tc>
      </w:tr>
      <w:tr>
        <w:trPr>
          <w:trHeight w:val="311"/>
        </w:trPr>
        <w:tc>
          <w:tcPr>
            <w:tcW w:w="1000" w:type="dxa"/>
            <w:vAlign w:val="bottom"/>
          </w:tcPr>
          <w:p>
            <w:pPr>
              <w:jc w:val="right"/>
              <w:ind w:right="51"/>
              <w:spacing w:after="0"/>
              <w:rPr>
                <w:sz w:val="20"/>
                <w:szCs w:val="20"/>
                <w:color w:val="auto"/>
              </w:rPr>
            </w:pPr>
            <w:r>
              <w:rPr>
                <w:rFonts w:ascii="Arial" w:cs="Arial" w:eastAsia="Arial" w:hAnsi="Arial"/>
                <w:sz w:val="18"/>
                <w:szCs w:val="18"/>
                <w:color w:val="auto"/>
              </w:rPr>
              <w:t>25.1(5)</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Statement of Eligibility of Trustee Under Debt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Filed as Exhibit 10.1 to the Current Report on Form 8-K filed by the registrant on December 29, 2006 and incorporated by reference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separately pursuant to Section 305(b)(2) of the Trust Indenture Act of 1939.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95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EQUITY OFFERING</w:t>
      </w:r>
      <w:r>
        <w:rPr>
          <w:rFonts w:ascii="Arial" w:cs="Arial" w:eastAsia="Arial" w:hAnsi="Arial"/>
          <w:sz w:val="15"/>
          <w:szCs w:val="15"/>
          <w:b w:val="1"/>
          <w:bCs w:val="1"/>
          <w:color w:val="auto"/>
        </w:rPr>
        <w:t>sm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121" w:lineRule="exact"/>
        <w:rPr>
          <w:sz w:val="20"/>
          <w:szCs w:val="20"/>
          <w:color w:val="auto"/>
        </w:rPr>
      </w:pPr>
    </w:p>
    <w:p>
      <w:pPr>
        <w:jc w:val="both"/>
        <w:ind w:right="300" w:firstLine="222"/>
        <w:spacing w:after="0" w:line="264" w:lineRule="auto"/>
        <w:rPr>
          <w:sz w:val="20"/>
          <w:szCs w:val="20"/>
          <w:color w:val="auto"/>
        </w:rPr>
      </w:pPr>
      <w:r>
        <w:rPr>
          <w:rFonts w:ascii="Arial" w:cs="Arial" w:eastAsia="Arial" w:hAnsi="Arial"/>
          <w:sz w:val="18"/>
          <w:szCs w:val="18"/>
          <w:color w:val="auto"/>
        </w:rPr>
        <w:t>This Amendment No. 1 to the Controlled Equity Offering Sales Agreement (the “Amendment”) entered into as of July 18, 2008 amends the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(the “Agreement”) dated as of December 26, 2006 by and between STEMCELLS, INC., a Delaware corporation (the “Company”) and Cantor Fitzgerald &amp; Co. (“Cantor”).</w:t>
      </w:r>
    </w:p>
    <w:p>
      <w:pPr>
        <w:spacing w:after="0" w:line="73" w:lineRule="exact"/>
        <w:rPr>
          <w:sz w:val="20"/>
          <w:szCs w:val="20"/>
          <w:color w:val="auto"/>
        </w:rPr>
      </w:pPr>
    </w:p>
    <w:p>
      <w:pPr>
        <w:ind w:right="320" w:firstLine="222"/>
        <w:spacing w:after="0" w:line="286" w:lineRule="auto"/>
        <w:rPr>
          <w:sz w:val="20"/>
          <w:szCs w:val="20"/>
          <w:color w:val="auto"/>
        </w:rPr>
      </w:pPr>
      <w:r>
        <w:rPr>
          <w:rFonts w:ascii="Arial" w:cs="Arial" w:eastAsia="Arial" w:hAnsi="Arial"/>
          <w:sz w:val="17"/>
          <w:szCs w:val="17"/>
          <w:color w:val="auto"/>
        </w:rPr>
        <w:t>WHEREAS, the Company has filed a new registration statement that supersedes the registration statement contemplated in the Agreement and the Company and Cantor desire to amend the Agreement to allow for the continued issuance and sale of Shares (as defined in the Agreement), pursuant to the new registration statement that has been filed by the Company and any comparable successor registration statement.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NOW THEREFORE, in consideration of the foregoing, and the respective agreements and covenants contained herein, the parties hereto agree,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Amendment to Section 1 the Agreement</w:t>
      </w:r>
      <w:r>
        <w:rPr>
          <w:rFonts w:ascii="Arial" w:cs="Arial" w:eastAsia="Arial" w:hAnsi="Arial"/>
          <w:sz w:val="16"/>
          <w:szCs w:val="16"/>
          <w:color w:val="auto"/>
        </w:rPr>
        <w:t>. The second paragraph of Section 1 of the Agreement is hereby amended and restated in its entirety as follows:</w:t>
      </w:r>
    </w:p>
    <w:p>
      <w:pPr>
        <w:spacing w:after="0" w:line="140" w:lineRule="exact"/>
        <w:rPr>
          <w:sz w:val="20"/>
          <w:szCs w:val="20"/>
          <w:color w:val="auto"/>
        </w:rPr>
      </w:pPr>
    </w:p>
    <w:p>
      <w:pPr>
        <w:ind w:right="120" w:firstLine="225"/>
        <w:spacing w:after="0" w:line="268" w:lineRule="auto"/>
        <w:rPr>
          <w:sz w:val="20"/>
          <w:szCs w:val="20"/>
          <w:color w:val="auto"/>
        </w:rPr>
      </w:pPr>
      <w:r>
        <w:rPr>
          <w:rFonts w:ascii="Arial" w:cs="Arial" w:eastAsia="Arial" w:hAnsi="Arial"/>
          <w:sz w:val="17"/>
          <w:szCs w:val="17"/>
          <w:color w:val="auto"/>
        </w:rPr>
        <w:t>“The Company has filed,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S-3 (File No. 333-151891), including a base prospectus, with respect to equity offerings, including the Shares,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The Company has prepared a prospectus supplement (the “</w:t>
      </w:r>
      <w:r>
        <w:rPr>
          <w:rFonts w:ascii="Arial" w:cs="Arial" w:eastAsia="Arial" w:hAnsi="Arial"/>
          <w:sz w:val="17"/>
          <w:szCs w:val="17"/>
          <w:b w:val="1"/>
          <w:bCs w:val="1"/>
          <w:u w:val="single" w:color="auto"/>
          <w:color w:val="auto"/>
        </w:rPr>
        <w:t>Prospectus Supplement</w:t>
      </w:r>
      <w:r>
        <w:rPr>
          <w:rFonts w:ascii="Arial" w:cs="Arial" w:eastAsia="Arial" w:hAnsi="Arial"/>
          <w:sz w:val="17"/>
          <w:szCs w:val="17"/>
          <w:color w:val="auto"/>
        </w:rPr>
        <w:t>”) to the base prospectus included as part of such registration statement. The Company will furnish to CF&amp;Co, for use by CF&amp;Co, copies of one or more prospectuses included as part of such registration statement, as supplemented by the Prospectus Supplement, relating to the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as well as any comparable successor registration statement filed by the Company for the sale of shares of its Common Stock, including the Shares, collectively, are herein called the “</w:t>
      </w:r>
      <w:r>
        <w:rPr>
          <w:rFonts w:ascii="Arial" w:cs="Arial" w:eastAsia="Arial" w:hAnsi="Arial"/>
          <w:sz w:val="17"/>
          <w:szCs w:val="17"/>
          <w:b w:val="1"/>
          <w:bCs w:val="1"/>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Statement</w:t>
      </w:r>
      <w:r>
        <w:rPr>
          <w:rFonts w:ascii="Arial" w:cs="Arial" w:eastAsia="Arial" w:hAnsi="Arial"/>
          <w:sz w:val="17"/>
          <w:szCs w:val="17"/>
          <w:color w:val="auto"/>
        </w:rPr>
        <w:t>,” and the base prospectus, including all documents incorporated therein by reference, included in the Registration Statement, as it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supplemented by the Prospectus Supplement, in the form filed by the Company with the Commission pursuant to Rule 424(b) under the Securities Act is herein called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color w:val="auto"/>
        </w:rPr>
        <w:t>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its Electronic Data Gathering Analysis and Retrieval System (“</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w:t>
      </w:r>
    </w:p>
    <w:p>
      <w:pPr>
        <w:spacing w:after="0" w:line="85" w:lineRule="exact"/>
        <w:rPr>
          <w:sz w:val="20"/>
          <w:szCs w:val="20"/>
          <w:color w:val="auto"/>
        </w:rPr>
      </w:pPr>
    </w:p>
    <w:p>
      <w:pPr>
        <w:ind w:left="420" w:hanging="18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to the extent specifically amended hereby, the provisions of the Agreement shall remain unmodified, and the Agreement shall continue in full force and effect.</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internal laws of the State of New York (without reference to the conflicts of law provisions thereof).</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73"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each such counterpart shall be deemed to be an original instrument, but all such counterparts together shall constitute but one agreement.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ind w:firstLine="225"/>
        <w:spacing w:after="0" w:line="277" w:lineRule="auto"/>
        <w:rPr>
          <w:sz w:val="20"/>
          <w:szCs w:val="20"/>
          <w:color w:val="auto"/>
        </w:rPr>
      </w:pPr>
      <w:r>
        <w:rPr>
          <w:rFonts w:ascii="Arial" w:cs="Arial" w:eastAsia="Arial" w:hAnsi="Arial"/>
          <w:sz w:val="18"/>
          <w:szCs w:val="18"/>
          <w:color w:val="auto"/>
        </w:rPr>
        <w:t>IN WITNESS WHEREOF, the parties have caused this Amendment to be executed by their respective duly authorized representatives as a contract under seal as of the date first set forth above.</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Kenneth Stratton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CANTOR FITZGERALD &amp; CO.</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Jeff Lumby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Jeff Lumby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1300"/>
          </w:cols>
          <w:pgMar w:left="240" w:top="935"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July 18,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S-3 (Registration No. 333-151891)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This opinion is furnished to you in connection with the above-referenced registration statement filed with the Securities and Exchange Commission (the “Commission”) by StemCells, Inc., a Delaware corporation (the “Company”), on June 24, 2008, as amended (the “Registration Statement”), the base prospectus dated June 24, 2008 (the “Base Prospectus”) and the prospectus supplement dated July 18, 2008 (together with the Base Prospectus, the “Prospectus”) to be filed with the Commission by the Company on July 18, 2008, pursuant to Rule 424 promulgated under the Securities Act of 1933, as amended. The Prospectus relates to the proposed issuance and sale from time to time of up to 10,000,000 shares of the Company’s common stock, par value $0.01 per share (the “Shares”), in accordance with the terms of a Controlled Equity Offering Sales Agreement, dated December 26, 2006 and most recently amended on July 18, 2008, by and between the Company and Cantor Fitzgerald &amp; Co. (the “Agreement”).</w:t>
      </w:r>
    </w:p>
    <w:p>
      <w:pPr>
        <w:spacing w:after="0" w:line="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familiar with the actions taken by the Company in connection with the proposed issuance of the Shares. For purposes of our opinion, we have examined and relied upon such documents, records, certificates, and other instruments as we have deemed necessary. The opinions expressed below are limited to the Delaware General Corporation Law, including the applicable provisions of the Delaware Constitution and the reported cases interpreting those laws.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Based on the foregoing, we are of the opinion that the Shares have been duly authorized and, when the Shares have been issued and sold in accordance with the terms of the Agreement and a Placement Notice issued and accepted in accordance with the Agreement, the Shares will be validly issued, fully paid, and nonassessable.</w:t>
      </w:r>
    </w:p>
    <w:p>
      <w:pPr>
        <w:spacing w:after="0" w:line="7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Our consent shall not be deemed an admission that we are experts whose consent is required under Section 7 of the Securities Act of 1933, as amended.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 is understood that this opinion is to be used only in connection with the offer and sale of Shares while the Registration Statement is in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Ropes &amp; Gray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Ropes &amp; Gray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2019-12-13T21:51:13Z</dcterms:created>
  <dcterms:modified xsi:type="dcterms:W3CDTF">2019-12-13T21:51:13Z</dcterms:modified>
</cp:coreProperties>
</file>