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333-275634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142875</wp:posOffset>
            </wp:positionV>
            <wp:extent cx="3214370" cy="1174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14370" cy="1174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4,000,001 Shares of Common Stock</w:t>
      </w:r>
    </w:p>
    <w:p>
      <w:pPr>
        <w:spacing w:after="0" w:line="229"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offering 4,000,001 shares of our common stock, par value $0.01 per share (“common stock”) to institutional investors at an offering price of $1.75 per share, pursuant to this prospectus supplement and the accompanying prospectus.</w:t>
      </w:r>
    </w:p>
    <w:p>
      <w:pPr>
        <w:spacing w:after="0" w:line="162" w:lineRule="exact"/>
        <w:rPr>
          <w:sz w:val="24"/>
          <w:szCs w:val="24"/>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 concurrent private placement, we are also selling to the same institutional investors of our shares of common stock, unregistered series G preferred investment options to purchase up to 8,000,002 shares of our common stock (the “series G preferred investment options”). Each series G preferred investment option will be exercisable for one share of common stock at an exercise price of $1.75 commencing on the date of issuance and will expire two years from the initial exercise date. The series G preferred investment options and the shares of common stock issuable upon the exercise of such series G preferred investment options are not being registered under the Securities Act of 1933, as amended (the “Securities Act”), are not being offered pursuant to this prospectus supplement and the accompanying prospectus and are being offered pursuant to the exemption provided in Section 4(a)(2) under the Securities Act and Rule 506(b) promulgated thereunder. None of the series G preferred investment options issued in the concurrent private placement are or will be listed for trading on any national securities exchange.</w:t>
      </w:r>
    </w:p>
    <w:p>
      <w:pPr>
        <w:spacing w:after="0" w:line="192"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and trades on The Nasdaq Capital Market under the symbol “MBOT.” The last sale price of our shares of common stock on January 3, 2025 was $2.14 per share.</w:t>
      </w:r>
    </w:p>
    <w:p>
      <w:pPr>
        <w:spacing w:after="0" w:line="162"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the date of this prospectus supplement, the aggregate market value of our outstanding common stock held by non-affiliates, computed by reference to the price at which our common stock was last sold on The Nasdaq Capital Market on January 3, 2025, which was $2.14 per share, was approximately $43.0 million, based on 20,242,119 shares of our outstanding common stock as of the date of this prospectus supplement, of which 20,105,272 shares were held by non-affiliates. Pursuant to General Instruction I.B.6 of Form S-3, in no event will we sell securities in a public primary offering with a value exceeding one-third of our public float in any 12-month period so long as our public float remains below $75.0 million. During the 12 calendar months prior to and including the date of this prospectus supplement (excluding this offering), we have sold $7,169,282 in securities pursuant to General Instruction I.B.6 of Form S-3.</w:t>
      </w:r>
    </w:p>
    <w:p>
      <w:pPr>
        <w:spacing w:after="0" w:line="189" w:lineRule="exact"/>
        <w:rPr>
          <w:sz w:val="24"/>
          <w:szCs w:val="24"/>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engaged H.C. Wainwright &amp; Co., LLC, or Wainwright or the placement agent, to act as our exclusive placement agent for this offering. The placement agent has agreed to use its “reasonable best efforts” to arrange for the sale of shares of our common stock offered by this prospectus supplement and the accompanying base prospectus, but the placement agent has no obligation to purchase or sell any of such securities or to arrange for the purchase or sale of any specific number or dollar amount of such securities. There is no required minimum number of securities that must be sold as a condition to completion of this offering. Because there is no minimum offering amount required as a condition to closing this offering, the actual offering amount, placement agent fees, and proceeds to us, if any, are not presently determinable and may be substantially less than the total maximum offering amounts set forth below. We have not arranged to place the funds from investors in an escrow, trust or similar account. We have agreed to pay the placement agent the fees set forth in the table below in connection with this offering, which assumes that we sell all of the shares of common stock we are offering hereby.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2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7,000,001.75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agent’s fees (1)</w:t>
            </w:r>
          </w:p>
        </w:tc>
        <w:tc>
          <w:tcPr>
            <w:tcW w:w="358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0.1225</w:t>
            </w:r>
          </w:p>
        </w:tc>
        <w:tc>
          <w:tcPr>
            <w:tcW w:w="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490,000.12</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 (2)</w:t>
            </w:r>
          </w:p>
        </w:tc>
        <w:tc>
          <w:tcPr>
            <w:tcW w:w="3580" w:type="dxa"/>
            <w:vAlign w:val="bottom"/>
            <w:gridSpan w:val="2"/>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1.6275</w:t>
            </w:r>
          </w:p>
        </w:tc>
        <w:tc>
          <w:tcPr>
            <w:tcW w:w="6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6,510,001.63</w:t>
            </w:r>
          </w:p>
        </w:tc>
      </w:tr>
    </w:tbl>
    <w:p>
      <w:pPr>
        <w:spacing w:after="0" w:line="198" w:lineRule="exact"/>
        <w:rPr>
          <w:sz w:val="20"/>
          <w:szCs w:val="20"/>
          <w:color w:val="auto"/>
        </w:rPr>
      </w:pPr>
    </w:p>
    <w:p>
      <w:pPr>
        <w:jc w:val="both"/>
        <w:ind w:left="340" w:hanging="332"/>
        <w:spacing w:after="0" w:line="25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pay the placement agent a cash fee of 7.0% of the aggregate gross proceeds raised in the offering. In addition, we have agreed to pay the placement agent a management fee equal to 1.0% of the gross proceeds raised in this offering, to reimburse the placement agent for certain of its expenses and to issue warrants to purchase shares of common stock to the placement agent or its designees (the “placement agent warrants”). Neither the placement agent warrants nor the shares of our common stock issuable upon exercise of the placement agent warrants are being registered hereby. See “Plan of Distribution” beginning on page S-12 of this prospectus supplement for more information.</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proceeds from the exercise of the placement agent warrants to be issued to the placement agent in cash, if any.</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Delivery of the shares of common stock offered hereby is expected to be made on or about January 7, 2025, subject to satisfaction of customary closing conditions.</w:t>
      </w:r>
    </w:p>
    <w:p>
      <w:pPr>
        <w:spacing w:after="0" w:line="15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making any investment decision, you should carefully review and consider all the information in this prospectus supplement, the accompanying base prospectus and the documents incorporated by reference herein and therein, including the risks and uncertainties described under “Risk Factors” beginning on page S-7 of this prospectus supplement and the risk factors incorporated by reference into this prospectus supplement and the accompanying base prospectus.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shares or determined if this prospectus supplement or the accompanying base prospectus is truthful or complete. Any representation to the contrary is a criminal offense.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 Wainwright &amp; Co.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January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9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17"/>
                <w:szCs w:val="17"/>
                <w:color w:val="auto"/>
              </w:rPr>
            </w:pPr>
          </w:p>
        </w:tc>
      </w:tr>
      <w:tr>
        <w:trPr>
          <w:trHeight w:val="453"/>
        </w:trPr>
        <w:tc>
          <w:tcPr>
            <w:tcW w:w="466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1920" w:type="dxa"/>
            <w:vAlign w:val="bottom"/>
            <w:tcBorders>
              <w:top w:val="single" w:sz="8" w:color="auto"/>
            </w:tcBorders>
            <w:gridSpan w:val="5"/>
          </w:tcPr>
          <w:p>
            <w:pPr>
              <w:spacing w:after="0"/>
              <w:rPr>
                <w:sz w:val="24"/>
                <w:szCs w:val="24"/>
                <w:color w:val="auto"/>
              </w:rPr>
            </w:pPr>
          </w:p>
        </w:tc>
        <w:tc>
          <w:tcPr>
            <w:tcW w:w="40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169"/>
        </w:trPr>
        <w:tc>
          <w:tcPr>
            <w:tcW w:w="10600" w:type="dxa"/>
            <w:vAlign w:val="bottom"/>
            <w:gridSpan w:val="3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6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S-1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730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S-3</w:t>
            </w:r>
          </w:p>
        </w:tc>
      </w:tr>
      <w:tr>
        <w:trPr>
          <w:trHeight w:val="176"/>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2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175"/>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SECURITIES WE ARE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PRIVATE PLACEMENT TRANSACTION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S-11</w:t>
            </w:r>
          </w:p>
        </w:tc>
      </w:tr>
      <w:tr>
        <w:trPr>
          <w:trHeight w:val="176"/>
        </w:trPr>
        <w:tc>
          <w:tcPr>
            <w:tcW w:w="316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7440" w:type="dxa"/>
            <w:vAlign w:val="bottom"/>
            <w:tcBorders>
              <w:top w:val="single" w:sz="8" w:color="CCEEFF"/>
            </w:tcBorders>
            <w:gridSpan w:val="1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175"/>
        </w:trPr>
        <w:tc>
          <w:tcPr>
            <w:tcW w:w="146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140" w:type="dxa"/>
            <w:vAlign w:val="bottom"/>
            <w:tcBorders>
              <w:top w:val="single" w:sz="8" w:color="CCEEFF"/>
            </w:tcBorders>
            <w:gridSpan w:val="2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453"/>
        </w:trPr>
        <w:tc>
          <w:tcPr>
            <w:tcW w:w="5060" w:type="dxa"/>
            <w:vAlign w:val="bottom"/>
            <w:tcBorders>
              <w:top w:val="single" w:sz="8" w:color="0000EE"/>
            </w:tcBorders>
            <w:gridSpan w:val="27"/>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554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189"/>
        </w:trPr>
        <w:tc>
          <w:tcPr>
            <w:tcW w:w="2200" w:type="dxa"/>
            <w:vAlign w:val="bottom"/>
            <w:tcBorders>
              <w:bottom w:val="single" w:sz="8" w:color="0000EE"/>
            </w:tcBorders>
            <w:gridSpan w:val="1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0000EE"/>
                <w:w w:val="99"/>
              </w:rPr>
              <w:t>PROSPECTUS SUMMARY</w:t>
            </w:r>
          </w:p>
        </w:tc>
        <w:tc>
          <w:tcPr>
            <w:tcW w:w="8400" w:type="dxa"/>
            <w:vAlign w:val="bottom"/>
            <w:tcBorders>
              <w:bottom w:val="single" w:sz="8" w:color="CCEEFF"/>
            </w:tcBorders>
            <w:gridSpan w:val="18"/>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120" w:type="dxa"/>
            <w:vAlign w:val="bottom"/>
            <w:tcBorders>
              <w:bottom w:val="single" w:sz="8" w:color="0000EE"/>
            </w:tcBorders>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CAUTIONARY NOTE REGARDING FORWARD-LOOKING STATEMENTS</w:t>
            </w:r>
          </w:p>
        </w:tc>
        <w:tc>
          <w:tcPr>
            <w:tcW w:w="448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5"/>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COMMON STOCK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PREFERRED STOCK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5"/>
        </w:trPr>
        <w:tc>
          <w:tcPr>
            <w:tcW w:w="336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WARRANTS</w:t>
            </w:r>
          </w:p>
        </w:tc>
        <w:tc>
          <w:tcPr>
            <w:tcW w:w="724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DEBT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5"/>
        </w:trPr>
        <w:tc>
          <w:tcPr>
            <w:tcW w:w="322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RIGHTS</w:t>
            </w:r>
          </w:p>
        </w:tc>
        <w:tc>
          <w:tcPr>
            <w:tcW w:w="7380" w:type="dxa"/>
            <w:vAlign w:val="bottom"/>
            <w:tcBorders>
              <w:top w:val="single" w:sz="8" w:color="CCEEFF"/>
            </w:tcBorders>
            <w:gridSpan w:val="1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5"/>
        </w:trPr>
        <w:tc>
          <w:tcPr>
            <w:tcW w:w="214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8460" w:type="dxa"/>
            <w:vAlign w:val="bottom"/>
            <w:tcBorders>
              <w:top w:val="single" w:sz="8" w:color="CCEEFF"/>
            </w:tcBorders>
            <w:gridSpan w:val="2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EXPERTS</w:t>
            </w:r>
          </w:p>
        </w:tc>
        <w:tc>
          <w:tcPr>
            <w:tcW w:w="9760" w:type="dxa"/>
            <w:vAlign w:val="bottom"/>
            <w:tcBorders>
              <w:bottom w:val="single" w:sz="8" w:color="CCEEFF"/>
            </w:tcBorders>
            <w:gridSpan w:val="3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5"/>
        </w:trPr>
        <w:tc>
          <w:tcPr>
            <w:tcW w:w="106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INCORPORATION OF CERTAIN INFORMATION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and the accompanying prospectus. Neither we nor the placement agent have authorized anyone to provide you with different information. If anyone provides you with different or inconsistent information, you should not rely on it. This prospectus supplement and the accompanying prospectus do not constitute an offer to sell, or a solicitation of an offer to purchase, the securities offered by this prospectus supplement and the accompanying prospectus in any jurisdiction where it is unlawful to make such offer or solicitation. You should assume that the information contained in this prospectus supplement or the accompanying prospectus, or any document incorporated by reference in this prospectus supplement or the accompanying prospectus, is accurate only as of the date of those respective documents. Neither the delivery of this prospectus supplement nor any distribution of securities pursuant to this prospectus supplement shall, under any circumstances, create any implication that there has been no change in the information set forth or incorporated by reference into this prospectus supplement or in our affairs since the date of this prospectus supplement. Our business, financial condition, results of operations and prospects may have changed since that date.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 registration statement on Form S-3 (File No. 333-275634) utilizing a shelf registration process relating to the securities described in this prospectus supplement was initially filed with the Securities and Exchange Commission, or the SEC, on November 17, 2023 and was declared effective on December 4, 2023.</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of securities.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It is also important for you to read and consider all information contained in this prospectus supplement and the accompanying prospectus, including the documents we have referred you to in the section entitled “Where You Can Find More Information” below in this prospectus supplement.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You should assume that the information contained in this prospectus supplement, the accompanying prospectus and the documents incorporated by reference is accurate only as of their respective dates.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not, and the placement agent has not, authorized any person to provide you with any information or to make any representation other than as contained in this prospectus supplement or in the accompanying prospectus and the information incorporated by reference herein and therein. We and the placement agent do not take any responsibility for, and can provide no assurance as to the reliability of, any information that others may provide you. The information appearing or incorporated by reference in this prospectus supplement and the accompanying prospectus is accurate only as of the date of this prospectus supplement or the date of the document in which incorporated information appears unless otherwise noted in such documents. Our business, financial condition, results of operations and prospects may have changed since those dates.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distribution of this prospectus supplement and the accompanying prospectus and the offering of the common stock in certain jurisdictions may be restricted by law. We are not, and the placement agent is not, making an offer of the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supplement and the accompanying prospectus the terms, the terms “Microbot,” the “Company,” “we,” “our” or “us” in this prospectus supplement refer to Microbot Medical Inc. and its wholly-owned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documents incorporated by reference in this prospectus supplement include forward-looking statements within the meaning of Section 27A of the Securities Act of 1933, as amended, or the Securities Act, and Section 21E of the Securities Exchange Act of 1934, as amended, or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our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and regulatory developments in Israel; and other risks to which we are subject.</w:t>
      </w:r>
    </w:p>
    <w:p>
      <w:pPr>
        <w:spacing w:after="0" w:line="1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supplement, in the documents incorporated by reference in this prospectus supplement,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supplement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supplement.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101574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10157460"/>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summary of our business highlights some of the information contained elsewhere in or incorporated by reference into this prospectus supplement. Because this is only a summary, however, it does not contain all of the information that may be important to you. You should carefully read this prospectus supplement and the accompanying base prospectus, including the documents incorporated by reference, which are described under “Where You Can Find Additional Information” and “Incorporation of Certain Information by Reference” in this prospectus supplement. You should also carefully consider the matters discussed in the section in this prospectus supplement entitled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a pre-clinical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ind w:firstLine="324"/>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are developing the first 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in the peripheral vasculature. It is designed to eliminate the need for extensive capital equipment requiring dedicated Cath-lab rooms as well as dedicated staff.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Concurrent Private Placement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 concurrent private placement, we are also issuing to the purchasers of our shares of common stock in this offering, series G preferred investment options to purchase up to 8,000,002 shares of our common stock. Each series G preferred investment option will be exercisable for one share of common stock at an exercise price of $1.75 commencing on the date of issuance and will expire two years from the initial exercise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Offering</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On June 10, 2021, we entered into an At-the-Market Offering Agreement, as amended on July 1, 2024 (the “ATM Agreement”) with Wainwright as sales agent, in connection with an “at the market offering” under which we may offer and sell, from time to time in our sole discretion, shares of our common stock having an aggregate offering price of up to $4,819,905 at market prices or as otherwise agreed with Wainwright. The compensation to Wainwright for sales of the shares is a placement fee of 3.0% of the gross sales price of the shares of common stock sold pursuant to the ATM Agreement.</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entering into the ATM Agreement, on July 1, 2024, we filed with the SEC a prospectus supplement relating to the offer, issuance and sale of up to $4,819,905 of our shares of common stock pursuant to the ATM Agreement.</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Through January 3, 2025, we issued and sold an aggregate of 4,276,486 shares of our common stock pursuant to the ATM Agreement, for total gross proceeds of $4,819,278 before deducting aggregate placement fees of $144,578 and other offering expenses. Accordingly, we are no longer selling any further shares of our common stock under the ATM Agreement.</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January 3, 2025, after taking into account the issuance of all of the shares sold under the ATM Agreement, we had 20,242,119 shares of our common stock issued and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Premarket Notification Submission</w:t>
      </w:r>
    </w:p>
    <w:p>
      <w:pPr>
        <w:spacing w:after="0" w:line="22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to Proceed with Pivotal Human Clinical Trial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29, 2024, the Company submitted an Investigational Device Exemption (IDE) application with the FDA, in order to commence its pivotal clinical trial in humans. On June 3, 2024, we announced that we received the FDA’s approval to proceed with our pivotal human clinical trial as</w:t>
      </w:r>
    </w:p>
    <w:p>
      <w:pPr>
        <w:jc w:val="both"/>
        <w:spacing w:after="0" w:line="209" w:lineRule="auto"/>
        <w:rPr>
          <w:sz w:val="20"/>
          <w:szCs w:val="20"/>
          <w:color w:val="auto"/>
        </w:rPr>
      </w:pPr>
      <w:r>
        <w:rPr>
          <w:rFonts w:ascii="Times New Roman" w:cs="Times New Roman" w:eastAsia="Times New Roman" w:hAnsi="Times New Roman"/>
          <w:sz w:val="18"/>
          <w:szCs w:val="18"/>
          <w:color w:val="auto"/>
        </w:rPr>
        <w:t>part of our IDE application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Since then, Brigham and Women’s Hospital, Boston, Massachusetts, Baptist Hospital of Miami, which includes Miami Cardiac &amp; Vascular Institute and Miami Cancer Institute, and Memorial Sloan</w:t>
      </w:r>
    </w:p>
    <w:p>
      <w:pPr>
        <w:spacing w:after="0" w:line="2"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18"/>
          <w:szCs w:val="18"/>
          <w:color w:val="auto"/>
        </w:rPr>
        <w:t>Kettering Cancer Center, New York, have each enrolled in the clinical trial as part of the IDE for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Since then, in October 2024, the Company has successfully completed enrollment and follow up for all patients in its human clinical trial.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are on-going as of the date of this prospectus.</w:t>
      </w:r>
    </w:p>
    <w:p>
      <w:pPr>
        <w:sectPr>
          <w:pgSz w:w="11900" w:h="16838" w:orient="portrait"/>
          <w:cols w:equalWidth="0" w:num="1">
            <w:col w:w="10940"/>
          </w:cols>
          <w:pgMar w:left="480" w:top="914" w:right="479" w:bottom="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47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147955"/>
                    </a:xfrm>
                    <a:prstGeom prst="rect">
                      <a:avLst/>
                    </a:prstGeom>
                    <a:noFill/>
                  </pic:spPr>
                </pic:pic>
              </a:graphicData>
            </a:graphic>
          </wp:anchor>
        </w:drawing>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33020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567" w:right="1440" w:bottom="1440" w:gutter="0" w:footer="0" w:header="0"/>
        </w:sectPr>
      </w:pPr>
    </w:p>
    <w:bookmarkStart w:id="7" w:name="page8"/>
    <w:bookmarkEnd w:id="7"/>
    <w:p>
      <w:pPr>
        <w:ind w:left="3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84734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8473440"/>
                    </a:xfrm>
                    <a:prstGeom prst="rect">
                      <a:avLst/>
                    </a:prstGeom>
                    <a:noFill/>
                  </pic:spPr>
                </pic:pic>
              </a:graphicData>
            </a:graphic>
          </wp:anchor>
        </w:drawing>
        <w:t>We have considered various ongoing risks relating to the military operations and related matters, including:</w:t>
      </w:r>
    </w:p>
    <w:p>
      <w:pPr>
        <w:spacing w:after="0" w:line="225" w:lineRule="exact"/>
        <w:rPr>
          <w:sz w:val="20"/>
          <w:szCs w:val="20"/>
          <w:color w:val="auto"/>
        </w:rPr>
      </w:pPr>
    </w:p>
    <w:p>
      <w:pPr>
        <w:ind w:left="960" w:right="20" w:hanging="317"/>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ind w:right="20" w:firstLine="324"/>
        <w:spacing w:after="0" w:line="256" w:lineRule="auto"/>
        <w:rPr>
          <w:sz w:val="20"/>
          <w:szCs w:val="20"/>
          <w:color w:val="auto"/>
        </w:rPr>
      </w:pPr>
      <w:r>
        <w:rPr>
          <w:rFonts w:ascii="Times New Roman" w:cs="Times New Roman" w:eastAsia="Times New Roman" w:hAnsi="Times New Roman"/>
          <w:sz w:val="18"/>
          <w:szCs w:val="18"/>
          <w:color w:val="auto"/>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date of this prospectus, we have determined that there have not been any materially adverse effects on our business or operations, but we continue to monitor the situation, as any future escalation or change could result in a material adverse effect on the ability of our Israeli office to support the Company’s clinical and regulatory activities. We do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33" w:lineRule="exact"/>
        <w:rPr>
          <w:sz w:val="20"/>
          <w:szCs w:val="20"/>
          <w:color w:val="auto"/>
        </w:rPr>
      </w:pPr>
    </w:p>
    <w:p>
      <w:pPr>
        <w:jc w:val="both"/>
        <w:ind w:firstLine="324"/>
        <w:spacing w:after="0" w:line="229" w:lineRule="auto"/>
        <w:rPr>
          <w:sz w:val="20"/>
          <w:szCs w:val="20"/>
          <w:color w:val="auto"/>
        </w:rPr>
      </w:pPr>
      <w:r>
        <w:rPr>
          <w:rFonts w:ascii="Times New Roman" w:cs="Times New Roman" w:eastAsia="Times New Roman" w:hAnsi="Times New Roman"/>
          <w:sz w:val="17"/>
          <w:szCs w:val="17"/>
          <w:color w:val="auto"/>
        </w:rPr>
        <w:t>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System’s core technology is co-owned by Microbot and The Technion Research and Development Foundation Ltd., or TRDF. The NovaCross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device is based on technologies acquired by Microbot from Nitiloop Ltd. Microbot may develop other medical-robotic solutions through internal research and development, to strengthen its intellectual property position, and to continue exploring strategic collaborations and accretive acquisition opportunities. Microbot currently holds an intellectual property portfolio of 16 patents issued/allowed and 59 patent applications pending worldwide. Microbot also holds 11 design patents issued/allowed and 3 design patents pending worldwide. It also has</w:t>
      </w:r>
    </w:p>
    <w:p>
      <w:pPr>
        <w:spacing w:after="0" w:line="2"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8"/>
          <w:szCs w:val="18"/>
          <w:color w:val="auto"/>
        </w:rPr>
        <w:t>registered trademarks in Israel, Europe, UK and the U.S. relating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also has trademarks relating to its proprietary Microbot Medical wordmark and logo registered in the U.S., Israel, Europe, and UK, in addition to having registered trademarks for the “One &amp; Done” wordmark in Israel, Europe, the U.S., UK, and Japan. Microbot also has a registered trademark in the U.S. for the NovaCross trademark.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including our Annual Report on Form 10-K for the year ended December 31, 2023 as described under the caption “Incorporation of Documents by Reference” on page S-14 of this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CytoTheraputics, Inc. On May 24, 2000, the Certificate of Incorporation as restated was further amended to change the name of the Company to StemCells, Inc. On November 28, 2016, C&amp;RD Israel Ltd., a wholly-owned subsidiary of the Company, completed its merger with and into Microbot Medical Ltd., an Israeli corporation, with Microbot Israel Ltd. surviving as a wholly-owned subsidiary of the Company, or the Merger. Prior to the Merger, the Company was a biopharmaceutical company that operated in one segment: the research, development, and commercialization of stem cell therapeutics and related technologies. Immediately following the closing of the Merger, the business of Microbot Medical Ltd. became our sole focus. In connection with the Merger, we also changed our name from StemCells, Inc. to Microbot Medical Inc. On November 29, 2016, the stock of the Company began trading on the Nasdaq Capital Market under the symbol “MBOT”.</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principal executive office address is 288 Grove Street, Suite 388, Braintree, MA 02184. Microbot also has an executive office at 6 Hayozma Street, Yoqneam, P.O.B. 242, Israel 2069204. Our telephone number is (781) 875-3605. We maintain an Internet website at www.microbotmedical.com. The information contained on, connected to or that can be accessed via our website is not part of this prospectus supplement. We have included our website address in this prospectus supplement as an inactive textual reference only and not as an active hyperlink.</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Exchange Act, are available free of charge through the investor relations page of our internet website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and have elected to take advantage of certain of the scaled disclosures available to smaller reporting companies, including certain of the reduced disclosure obligations in the registration statement of which this prospectus supplement is a part. As a result, the information that we provide to our stockholders may be different than you might receive from other public reporting companies in which you hold equity interests.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80" w:top="918" w:right="47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449"/>
        </w:trPr>
        <w:tc>
          <w:tcPr>
            <w:tcW w:w="3320" w:type="dxa"/>
            <w:vAlign w:val="bottom"/>
            <w:tcBorders>
              <w:top w:val="single" w:sz="8" w:color="auto"/>
              <w:left w:val="single" w:sz="8" w:color="auto"/>
            </w:tcBorders>
          </w:tcPr>
          <w:p>
            <w:pPr>
              <w:spacing w:after="0"/>
              <w:rPr>
                <w:sz w:val="24"/>
                <w:szCs w:val="24"/>
                <w:color w:val="auto"/>
              </w:rPr>
            </w:pPr>
          </w:p>
        </w:tc>
        <w:tc>
          <w:tcPr>
            <w:tcW w:w="7920" w:type="dxa"/>
            <w:vAlign w:val="bottom"/>
            <w:tcBorders>
              <w:top w:val="single" w:sz="8" w:color="auto"/>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10"/>
        </w:trPr>
        <w:tc>
          <w:tcPr>
            <w:tcW w:w="3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Common Stock Offered in This</w:t>
            </w: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4,000,001 shares of our common stock, par value $0.01 per share</w:t>
            </w:r>
          </w:p>
        </w:tc>
      </w:tr>
      <w:tr>
        <w:trPr>
          <w:trHeight w:val="238"/>
        </w:trPr>
        <w:tc>
          <w:tcPr>
            <w:tcW w:w="3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Offering</w:t>
            </w:r>
          </w:p>
        </w:tc>
        <w:tc>
          <w:tcPr>
            <w:tcW w:w="7920" w:type="dxa"/>
            <w:vAlign w:val="bottom"/>
            <w:tcBorders>
              <w:right w:val="single" w:sz="8" w:color="auto"/>
            </w:tcBorders>
          </w:tcPr>
          <w:p>
            <w:pPr>
              <w:spacing w:after="0"/>
              <w:rPr>
                <w:sz w:val="20"/>
                <w:szCs w:val="20"/>
                <w:color w:val="auto"/>
              </w:rPr>
            </w:pPr>
          </w:p>
        </w:tc>
      </w:tr>
      <w:tr>
        <w:trPr>
          <w:trHeight w:val="410"/>
        </w:trPr>
        <w:tc>
          <w:tcPr>
            <w:tcW w:w="3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Common Stock Outstanding Before</w:t>
            </w: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16,651,433 shares (1)</w:t>
            </w:r>
          </w:p>
        </w:tc>
      </w:tr>
      <w:tr>
        <w:trPr>
          <w:trHeight w:val="238"/>
        </w:trPr>
        <w:tc>
          <w:tcPr>
            <w:tcW w:w="3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This Offering</w:t>
            </w:r>
          </w:p>
        </w:tc>
        <w:tc>
          <w:tcPr>
            <w:tcW w:w="7920" w:type="dxa"/>
            <w:vAlign w:val="bottom"/>
            <w:tcBorders>
              <w:right w:val="single" w:sz="8" w:color="auto"/>
            </w:tcBorders>
          </w:tcPr>
          <w:p>
            <w:pPr>
              <w:spacing w:after="0"/>
              <w:rPr>
                <w:sz w:val="20"/>
                <w:szCs w:val="20"/>
                <w:color w:val="auto"/>
              </w:rPr>
            </w:pPr>
          </w:p>
        </w:tc>
      </w:tr>
      <w:tr>
        <w:trPr>
          <w:trHeight w:val="410"/>
        </w:trPr>
        <w:tc>
          <w:tcPr>
            <w:tcW w:w="3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Common Stock to be Outstanding After</w:t>
            </w: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20,651,434 shares (1)</w:t>
            </w:r>
          </w:p>
        </w:tc>
      </w:tr>
      <w:tr>
        <w:trPr>
          <w:trHeight w:val="238"/>
        </w:trPr>
        <w:tc>
          <w:tcPr>
            <w:tcW w:w="3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This Offering</w:t>
            </w:r>
          </w:p>
        </w:tc>
        <w:tc>
          <w:tcPr>
            <w:tcW w:w="7920" w:type="dxa"/>
            <w:vAlign w:val="bottom"/>
            <w:tcBorders>
              <w:right w:val="single" w:sz="8" w:color="auto"/>
            </w:tcBorders>
          </w:tcPr>
          <w:p>
            <w:pPr>
              <w:spacing w:after="0"/>
              <w:rPr>
                <w:sz w:val="20"/>
                <w:szCs w:val="20"/>
                <w:color w:val="auto"/>
              </w:rPr>
            </w:pPr>
          </w:p>
        </w:tc>
      </w:tr>
      <w:tr>
        <w:trPr>
          <w:trHeight w:val="414"/>
        </w:trPr>
        <w:tc>
          <w:tcPr>
            <w:tcW w:w="3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 estimate the net proceeds from this offering will be approximately $6.3 million after deducting</w:t>
            </w:r>
          </w:p>
        </w:tc>
      </w:tr>
      <w:tr>
        <w:trPr>
          <w:trHeight w:val="220"/>
        </w:trPr>
        <w:tc>
          <w:tcPr>
            <w:tcW w:w="3320" w:type="dxa"/>
            <w:vAlign w:val="bottom"/>
            <w:tcBorders>
              <w:left w:val="single" w:sz="8" w:color="auto"/>
            </w:tcBorders>
          </w:tcPr>
          <w:p>
            <w:pPr>
              <w:spacing w:after="0"/>
              <w:rPr>
                <w:sz w:val="19"/>
                <w:szCs w:val="19"/>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estimated offering expenses payable by us. We currently intend to use the net proceeds from this offering</w:t>
            </w:r>
          </w:p>
        </w:tc>
      </w:tr>
      <w:tr>
        <w:trPr>
          <w:trHeight w:val="253"/>
        </w:trPr>
        <w:tc>
          <w:tcPr>
            <w:tcW w:w="3320" w:type="dxa"/>
            <w:vAlign w:val="bottom"/>
            <w:tcBorders>
              <w:left w:val="single" w:sz="8" w:color="auto"/>
            </w:tcBorders>
          </w:tcPr>
          <w:p>
            <w:pPr>
              <w:spacing w:after="0"/>
              <w:rPr>
                <w:sz w:val="21"/>
                <w:szCs w:val="21"/>
                <w:color w:val="auto"/>
              </w:rPr>
            </w:pPr>
          </w:p>
        </w:tc>
        <w:tc>
          <w:tcPr>
            <w:tcW w:w="7920" w:type="dxa"/>
            <w:vAlign w:val="bottom"/>
            <w:tcBorders>
              <w:right w:val="single" w:sz="8" w:color="auto"/>
            </w:tcBorders>
          </w:tcPr>
          <w:p>
            <w:pPr>
              <w:ind w:left="120"/>
              <w:spacing w:after="0" w:line="252" w:lineRule="exact"/>
              <w:rPr>
                <w:sz w:val="20"/>
                <w:szCs w:val="20"/>
                <w:color w:val="auto"/>
              </w:rPr>
            </w:pPr>
            <w:r>
              <w:rPr>
                <w:rFonts w:ascii="Times New Roman" w:cs="Times New Roman" w:eastAsia="Times New Roman" w:hAnsi="Times New Roman"/>
                <w:sz w:val="18"/>
                <w:szCs w:val="18"/>
                <w:color w:val="auto"/>
              </w:rPr>
              <w:t>for the continued development, commercialization and regulatory activities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System, expansion and development of additional applications derived from our existing intellectual</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property portfolio, and for working capital and other general corporate purposes.  As a result, our</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management will retain broad discretion in the allocation and use of the net proceeds of this offering, and</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investors will be relying on the judgment of our management with regard to the use of these net</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proceeds.  Pending application of the net proceeds for the purposes as described above, we expect to</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 the net proceeds in short-term, interest-bearing securities, investment grade securities, certificates</w:t>
            </w:r>
          </w:p>
        </w:tc>
      </w:tr>
      <w:tr>
        <w:trPr>
          <w:trHeight w:val="234"/>
        </w:trPr>
        <w:tc>
          <w:tcPr>
            <w:tcW w:w="3320" w:type="dxa"/>
            <w:vAlign w:val="bottom"/>
            <w:tcBorders>
              <w:left w:val="single" w:sz="8" w:color="auto"/>
            </w:tcBorders>
          </w:tcPr>
          <w:p>
            <w:pPr>
              <w:spacing w:after="0"/>
              <w:rPr>
                <w:sz w:val="20"/>
                <w:szCs w:val="20"/>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 deposit or direct or guaranteed obligations of the U.S. government. See “Use of Proceeds” on page S-9.</w:t>
            </w:r>
          </w:p>
        </w:tc>
      </w:tr>
      <w:tr>
        <w:trPr>
          <w:trHeight w:val="414"/>
        </w:trPr>
        <w:tc>
          <w:tcPr>
            <w:tcW w:w="3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Investing in our securities involves a high degree of risk. Before you decide to invest in our common</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stock, you should carefully read this prospectus supplement in its entirety and carefully consider the risks</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 uncertainties described in “Risk Factors” beginning on page S-7 of this prospectus supplement,</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beginning on page 6 of the accompanying base prospectus and in our Annual Report on Form 10-K for</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fiscal year ended December 31, 2023, as such risk factors may be amended, updated or modified</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periodically in our reports filed with the SEC, and the financial data and related notes and the reports</w:t>
            </w:r>
          </w:p>
        </w:tc>
      </w:tr>
      <w:tr>
        <w:trPr>
          <w:trHeight w:val="234"/>
        </w:trPr>
        <w:tc>
          <w:tcPr>
            <w:tcW w:w="3320" w:type="dxa"/>
            <w:vAlign w:val="bottom"/>
            <w:tcBorders>
              <w:left w:val="single" w:sz="8" w:color="auto"/>
            </w:tcBorders>
          </w:tcPr>
          <w:p>
            <w:pPr>
              <w:spacing w:after="0"/>
              <w:rPr>
                <w:sz w:val="20"/>
                <w:szCs w:val="20"/>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incorporated by reference herein and therein.</w:t>
            </w:r>
          </w:p>
        </w:tc>
      </w:tr>
      <w:tr>
        <w:trPr>
          <w:trHeight w:val="414"/>
        </w:trPr>
        <w:tc>
          <w:tcPr>
            <w:tcW w:w="3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Concurrent Private Placement</w:t>
            </w: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 a concurrent private placement, we are also selling to the same institutional investors of our shares of</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unregistered series G preferred investment options to purchase up to 8,000,002 shares of</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our common stock.  Each series G preferred investment option will be exercisable for one share of</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at an exercise price of $1.75 commencing on the date of issuance and will expire two years</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from the initial exercise date. The series G preferred investment options and the shares of common stock</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issuable upon the exercise of such securities are not being registered under the Securities Act of 1933, as</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amended (the “Securities Act”), are not being offered pursuant to this prospectus supplement and the</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accompanying prospectus and are being offered pursuant to the exemption provided in Section 4(a)(2)</w:t>
            </w:r>
          </w:p>
        </w:tc>
      </w:tr>
      <w:tr>
        <w:trPr>
          <w:trHeight w:val="216"/>
        </w:trPr>
        <w:tc>
          <w:tcPr>
            <w:tcW w:w="332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under the Securities Act and Rule 506(b) promulgated thereunder.  See the section titled “Private</w:t>
            </w:r>
          </w:p>
        </w:tc>
      </w:tr>
      <w:tr>
        <w:trPr>
          <w:trHeight w:val="234"/>
        </w:trPr>
        <w:tc>
          <w:tcPr>
            <w:tcW w:w="3320" w:type="dxa"/>
            <w:vAlign w:val="bottom"/>
            <w:tcBorders>
              <w:left w:val="single" w:sz="8" w:color="auto"/>
            </w:tcBorders>
          </w:tcPr>
          <w:p>
            <w:pPr>
              <w:spacing w:after="0"/>
              <w:rPr>
                <w:sz w:val="20"/>
                <w:szCs w:val="20"/>
                <w:color w:val="auto"/>
              </w:rPr>
            </w:pP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Placement Transaction.”</w:t>
            </w:r>
          </w:p>
        </w:tc>
      </w:tr>
      <w:tr>
        <w:trPr>
          <w:trHeight w:val="432"/>
        </w:trPr>
        <w:tc>
          <w:tcPr>
            <w:tcW w:w="33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Nasdaq Capital Market Symbol</w:t>
            </w:r>
          </w:p>
        </w:tc>
        <w:tc>
          <w:tcPr>
            <w:tcW w:w="7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“MBOT”.</w:t>
            </w:r>
          </w:p>
        </w:tc>
      </w:tr>
      <w:tr>
        <w:trPr>
          <w:trHeight w:val="226"/>
        </w:trPr>
        <w:tc>
          <w:tcPr>
            <w:tcW w:w="3320" w:type="dxa"/>
            <w:vAlign w:val="bottom"/>
            <w:tcBorders>
              <w:left w:val="single" w:sz="8" w:color="auto"/>
              <w:bottom w:val="single" w:sz="8" w:color="auto"/>
            </w:tcBorders>
          </w:tcPr>
          <w:p>
            <w:pPr>
              <w:spacing w:after="0"/>
              <w:rPr>
                <w:sz w:val="19"/>
                <w:szCs w:val="19"/>
                <w:color w:val="auto"/>
              </w:rPr>
            </w:pPr>
          </w:p>
        </w:tc>
        <w:tc>
          <w:tcPr>
            <w:tcW w:w="7920" w:type="dxa"/>
            <w:vAlign w:val="bottom"/>
            <w:tcBorders>
              <w:bottom w:val="single" w:sz="8" w:color="auto"/>
              <w:right w:val="single" w:sz="8" w:color="auto"/>
            </w:tcBorders>
          </w:tcPr>
          <w:p>
            <w:pPr>
              <w:spacing w:after="0"/>
              <w:rPr>
                <w:sz w:val="19"/>
                <w:szCs w:val="19"/>
                <w:color w:val="auto"/>
              </w:rPr>
            </w:pPr>
          </w:p>
        </w:tc>
      </w:tr>
      <w:tr>
        <w:trPr>
          <w:trHeight w:val="429"/>
        </w:trPr>
        <w:tc>
          <w:tcPr>
            <w:tcW w:w="332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240"/>
          </w:cols>
          <w:pgMar w:left="320" w:top="683" w:right="339" w:bottom="1440" w:gutter="0" w:footer="0" w:header="0"/>
        </w:sectPr>
      </w:pPr>
    </w:p>
    <w:bookmarkStart w:id="9" w:name="page10"/>
    <w:bookmarkEnd w:id="9"/>
    <w:p>
      <w:pPr>
        <w:ind w:left="640" w:right="20" w:hanging="321"/>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202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t>The number of shares of common stock to be outstanding immediately after this offering, is based on 16,651,433 shares of our common stock outstanding as of September 30, 2024 and excludes the following securities:</w:t>
      </w:r>
    </w:p>
    <w:p>
      <w:pPr>
        <w:spacing w:after="0" w:line="161" w:lineRule="exact"/>
        <w:rPr>
          <w:rFonts w:ascii="Times New Roman" w:cs="Times New Roman" w:eastAsia="Times New Roman" w:hAnsi="Times New Roman"/>
          <w:sz w:val="18"/>
          <w:szCs w:val="18"/>
          <w:color w:val="auto"/>
        </w:rPr>
      </w:pPr>
    </w:p>
    <w:p>
      <w:pPr>
        <w:ind w:left="960" w:right="20" w:hanging="317"/>
        <w:spacing w:after="0" w:line="282"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3,590,686 shares of common stock sold and issued pursuant to our ATM with Wainwright as sales agent at an average price of $1.138 per share subsequent to September 30, 2024 and through January 3, 2024;</w:t>
      </w:r>
    </w:p>
    <w:p>
      <w:pPr>
        <w:spacing w:after="0" w:line="161" w:lineRule="exact"/>
        <w:rPr>
          <w:rFonts w:ascii="Times New Roman" w:cs="Times New Roman" w:eastAsia="Times New Roman" w:hAnsi="Times New Roman"/>
          <w:sz w:val="18"/>
          <w:szCs w:val="18"/>
          <w:color w:val="auto"/>
        </w:rPr>
      </w:pPr>
    </w:p>
    <w:p>
      <w:pPr>
        <w:ind w:left="960" w:right="20" w:hanging="317"/>
        <w:spacing w:after="0" w:line="282"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960" w:right="20" w:hanging="317"/>
        <w:spacing w:after="0" w:line="282"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960" w:right="20" w:hanging="317"/>
        <w:spacing w:after="0" w:line="282"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960" w:right="20" w:hanging="317"/>
        <w:spacing w:after="0" w:line="282"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spacing w:after="0" w:line="161" w:lineRule="exact"/>
        <w:rPr>
          <w:rFonts w:ascii="Times New Roman" w:cs="Times New Roman" w:eastAsia="Times New Roman" w:hAnsi="Times New Roman"/>
          <w:sz w:val="18"/>
          <w:szCs w:val="18"/>
          <w:color w:val="auto"/>
        </w:rPr>
      </w:pPr>
    </w:p>
    <w:p>
      <w:pPr>
        <w:ind w:left="960" w:right="20" w:hanging="317"/>
        <w:spacing w:after="0" w:line="282"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1,685,682 shares of our common stock issuable upon the exercise of outstanding series E preferred investment options expiring in July 2029, at an exercise price per share of $1.50;</w:t>
      </w:r>
    </w:p>
    <w:p>
      <w:pPr>
        <w:spacing w:after="0" w:line="161" w:lineRule="exact"/>
        <w:rPr>
          <w:rFonts w:ascii="Times New Roman" w:cs="Times New Roman" w:eastAsia="Times New Roman" w:hAnsi="Times New Roman"/>
          <w:sz w:val="18"/>
          <w:szCs w:val="18"/>
          <w:color w:val="auto"/>
        </w:rPr>
      </w:pPr>
    </w:p>
    <w:p>
      <w:pPr>
        <w:ind w:left="960" w:right="20" w:hanging="317"/>
        <w:spacing w:after="0" w:line="282"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w:t>
      </w:r>
    </w:p>
    <w:p>
      <w:pPr>
        <w:spacing w:after="0" w:line="161" w:lineRule="exact"/>
        <w:rPr>
          <w:rFonts w:ascii="Times New Roman" w:cs="Times New Roman" w:eastAsia="Times New Roman" w:hAnsi="Times New Roman"/>
          <w:sz w:val="18"/>
          <w:szCs w:val="18"/>
          <w:color w:val="auto"/>
        </w:rPr>
      </w:pPr>
    </w:p>
    <w:p>
      <w:pPr>
        <w:ind w:left="960" w:hanging="317"/>
        <w:spacing w:after="0" w:line="282"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spacing w:after="0" w:line="161" w:lineRule="exact"/>
        <w:rPr>
          <w:rFonts w:ascii="Times New Roman" w:cs="Times New Roman" w:eastAsia="Times New Roman" w:hAnsi="Times New Roman"/>
          <w:sz w:val="18"/>
          <w:szCs w:val="18"/>
          <w:color w:val="auto"/>
        </w:rPr>
      </w:pPr>
    </w:p>
    <w:p>
      <w:pPr>
        <w:ind w:left="960" w:right="20" w:hanging="317"/>
        <w:spacing w:after="0" w:line="282"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pacing w:after="0" w:line="161" w:lineRule="exact"/>
        <w:rPr>
          <w:rFonts w:ascii="Times New Roman" w:cs="Times New Roman" w:eastAsia="Times New Roman" w:hAnsi="Times New Roman"/>
          <w:sz w:val="18"/>
          <w:szCs w:val="18"/>
          <w:color w:val="auto"/>
        </w:rPr>
      </w:pPr>
    </w:p>
    <w:p>
      <w:pPr>
        <w:ind w:left="960" w:right="20" w:hanging="317"/>
        <w:spacing w:after="0" w:line="282"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spacing w:after="0" w:line="161" w:lineRule="exact"/>
        <w:rPr>
          <w:rFonts w:ascii="Times New Roman" w:cs="Times New Roman" w:eastAsia="Times New Roman" w:hAnsi="Times New Roman"/>
          <w:sz w:val="18"/>
          <w:szCs w:val="18"/>
          <w:color w:val="auto"/>
        </w:rPr>
      </w:pPr>
    </w:p>
    <w:p>
      <w:pPr>
        <w:jc w:val="both"/>
        <w:ind w:left="960" w:hanging="317"/>
        <w:spacing w:after="0" w:line="266" w:lineRule="auto"/>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2,589,429 shares of our common stock issuable upon the exercise of outstanding stock options granted to employees, directors and consultants, with exercise prices ranging from approximately $0.005 to $15.75 and having a weighted-average exercise price of $4.58 per share;</w:t>
      </w:r>
    </w:p>
    <w:p>
      <w:pPr>
        <w:spacing w:after="0" w:line="175"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637,779 shares of our common stock reserved for future grant under our 2020 Omnibus Performance Award Plan.</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this prospectus supplement assumes no exercise of the placement agent warrants and any securities issued in the concurrent private placement.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80" w:top="918" w:right="4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shares of common stock involves a high degree of risk. You should carefully consider the risks, uncertainties and other factors described in our most recent Annual Report on Form 10-K, as supplemented and updated by subsequent Quarterly Reports on Form 10-Q and Current Reports on Form 8-K that we have filed or will filed with the SEC, and in other documents incorporated by reference to our filings with the SEC pursuant to Sections 13(a), 13(c), 14 or 15(d) of the Exchange Act and all other information contained or incorporated by reference in this prospectus supplement and the accompanying base prospectus, including our consolidated financial statements and the related notes, before investing in our common stock. If any of these risks materialize, our business, financial condition or results of operations could be materially harmed. In that case, the trading price of our common stock could decline, and you may lose some or all of your investment.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securities sold in this offering, you will incur immediate dilution.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Since the price per share of our common stock being offered is higher than the pro forma as adjusted net tangible book value per share of our common stock after giving effect to this offering and the ATM sales subsequent to September 30, 2024, you will suffer dilution with respect to the pro forma as adjusted net tangible book value of the shares of common stock you purchase in this offering. Based on a public offering price of $1.75 per share and our pro forma as adjusted net tangible book value as of September 30, 2024, if you purchase securities in this offering, you will suffer immediate dilution of $1.17 per share with respect to the net tangible book value of the common stock. You may experience additional dilution upon exercise of the outstanding stock options and other equity awards that may be granted under our equity incentive plans, exercise of outstanding warrants and when we otherwise issue additional shares of our common stock. For more information, see “Dilution.”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may not use them effectively, including in connection with pending litigation.</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may not apply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or as otherwise provided in our investment policies in effect from time to time. These investments may not yield a favorable return to our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future sales of our securities or other dilution of our equity, which may adversely affect the market price of our common stock.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generally not restricted from issuing additional common stock, including any securities that are convertible into or exchangeable for, or that represent the right to receive, common stock; however, we agreed as part of this offering to not issue any common stock or common stock equivalents, or file any registration statement or amendments or supplements thereto, for a period of thirty trading days from the closing of this offering, subject to customary exceptions. We further agreed not to issue any security that has a variable rate conversion or exercise component, for twelve months from the closing of this offering. The market price of our common stock could decline as a result of sales of common stock or securities that are convertible into or exchangeable for, or that represent the right to receive, common stock after this offering or the perception that such sales could occur.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line="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this offering is successful, we will need to raise additional capital in the future to remain a going concern, which may not be available on acceptable terms, or at all. Failure to obtain this necessary capital when needed may force us to delay, limit or terminate our product development efforts or other operations.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have had significant recurring losses from operations and we do not generate any cash from operations and must raise additional funds in order to continue operating our business. We expect to continue to fund our operations in the future primarily through equity and debt financings, grants from the </w:t>
      </w:r>
      <w:r>
        <w:rPr>
          <w:rFonts w:ascii="Times New Roman" w:cs="Times New Roman" w:eastAsia="Times New Roman" w:hAnsi="Times New Roman"/>
          <w:sz w:val="18"/>
          <w:szCs w:val="18"/>
          <w:i w:val="1"/>
          <w:iCs w:val="1"/>
          <w:color w:val="auto"/>
        </w:rPr>
        <w:t xml:space="preserve">Israel </w:t>
      </w:r>
      <w:r>
        <w:rPr>
          <w:rFonts w:ascii="Times New Roman" w:cs="Times New Roman" w:eastAsia="Times New Roman" w:hAnsi="Times New Roman"/>
          <w:sz w:val="18"/>
          <w:szCs w:val="18"/>
          <w:color w:val="auto"/>
        </w:rPr>
        <w:t>Innovation Authority and other sources. If additional capital is not available to us when needed or on acceptable terms, we may not be 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operate our business pursuant to our business plan or we may have to discontinue our operations entirely. Based on our cash balance and recurring losses since inception and inadequacy of existing capital resources to fund planned operations during the next twelve months, we will require significant additional funding to continue operations. We will receive net proceeds of approximately $6.3 million from the sale of the securities offered by us in this offering, after deducting the placement agent fees and estimated offering expenses payable by us and excluding any proceeds we may receive upon exercise of the securities issued in the concurrent private placement. We cannot provide assurances that our plans will not change or that changed circumstances will not result in the depletion of our capital resources more rapidly than we currently anticipate. Moreover,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Our ability to raise additional funds will depend, in part, on the success of our product development activities, any clinical trials, regulatory events, our ability to identify and enter into in-licensing or other strategic arrangements, and other events or conditions that may affect our value or prospects, as well as factors related to financial, economic and market conditions, many of which are beyond our control. There can be no assurances that sufficient funds will be available to us when required or on acceptable terms, if at all.</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are unable to secure additional funds when needed or on acceptable terms, we may be required to defer, reduce or eliminate significant planned expenditures, restructure, curtail or eliminate some or all of our development programs or other operations, dispose of technology or assets, pursue an acquisition of our company by a third party at a price that may result in a loss on investment for our stockholders, enter into arrangements that may require us to relinquish rights to certain of our product candidates, technologies or potential markets, file for bankruptcy or cease operations altogether. Any of these events could have a material adverse effect on our business, financial condition and results of operations. Moreover, if we are unable to obtain additional funds on a timely basis, there will be substantial doubt about our ability to continue as a going concern and increased risk of insolvency and up to a total loss of investment by our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dividends on our common stock in the foreseeable future.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currently plan to invest all available funds, including the proceeds from this offering, and future earnings, if any, in the development and growth of our business. We currently do not anticipate paying any cash dividends on our common stock in the foreseeable future. As a result, a rise in the market price of our common stock, which is uncertain and unpredictable, will be your sole source of potential gain in the foreseeable future and you should not rely on an investment in our common stock for dividend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Broad market and industry factors may negatively affect the trading price of our common stock, regardless of our actual operating performance. In addition to the factors discussed in this “Risk Factors” section and elsewhere in this prospectus supplement, these factors include:</w:t>
      </w:r>
    </w:p>
    <w:p>
      <w:pPr>
        <w:spacing w:after="0" w:line="183"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operations and product development efforts;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working capital financing;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“public float” in the hands of a small number of persons whose sales or lack of sales could result in positive or negative pricing pressure on the market price for our common stock;</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and decline in demand for our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our industry or our prospects;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or public health emergencies;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industry and market conditions.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 markets in general and our share price in particular have recently experienced extreme price and volume fluctuations that have often been unrelated or disproportionate to the operating performance of those companies and our company. For example, from September 23, 2024 to January 3, 2025, the closing price of our common stock on Nasdaq ranged from as low as $0.85 to as high as $2.14. These broad market fluctuations may adversely affect the trading price of our common stock. Additionally, these and other external factors have caused and may continue to cause the market price and demand for our common stock to fluctuate, which may limit or prevent investors from readily selling their common stock and may otherwise negatively affect the liquidity of our common stock.</w:t>
      </w:r>
    </w:p>
    <w:p>
      <w:pPr>
        <w:sectPr>
          <w:pgSz w:w="11900" w:h="16901" w:orient="portrait"/>
          <w:cols w:equalWidth="0" w:num="1">
            <w:col w:w="11240"/>
          </w:cols>
          <w:pgMar w:left="320" w:top="684" w:right="339" w:bottom="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selling the securities offered in this prospectus on a “best efforts” basis and may not be able to sell any of the securities offered herein.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engaged Wainwright to act as placement agent in connection with this offering. While Wainwright will use its reasonable best efforts to arrange for the sale of the securities, they are under no obligation to purchase any of the securities. As a result, there are no firm commitments to purchase any of the securities in this offering. Consequently, there is no guarantee that we will be capable of selling all, or any, of the securities being offered hereby.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estimate the net proceeds to us from the sale of our common stock in this offering will be approximately $6.3 million after deducting the placement agent fees and estimated offering expenses payable by us.</w:t>
      </w:r>
    </w:p>
    <w:p>
      <w:pPr>
        <w:spacing w:after="0" w:line="16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the continued development, commercialization and regulatory activities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expansion and development of additional applications derived from our existing intellectual property portfolio, and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invest in our securities, you will experience immediate and substantial dilution to the extent of the difference between the amount per share paid in this offering and the net tangible book value per share of our common stock immediately after the offering.</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net tangible book value per share is determined by subtracting our total liabilities from our total tangible assets, which is total assets less intangible assets, and dividing this amount by the number of shares of common stock outstanding. The historical net tangible book value of our common stock as of September 30, 2024 was approximately $3.81 million, or $0.23 per share, based on 16,651,433 shares of our common stock outstanding at September 30, 2024.</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pro forma net tangible book value as of September 30, 2024, was approximately $7.75 million, or approximately $0.38 per share, on a pro forma basis to give effect to the issuance and sale of 3,590,686 shares of common stock pursuant to our ATM at an average price of $1.138 per share subsequent to September 30, 2024, after deducting sales agent commissions.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After giving effect to the issuance and sale in this offering of 4,000,001 shares of common stock at the offering price of $1.75 per share, after deducting the estimated placement agent’s fees and estimated offering expenses payable by us, our pro forma as adjusted net tangible book value on September 30, 2024, would have been approximately $14.0 million or $0.58 per share. This represents an immediate increase in the net tangible book value of $0.20 per share attributable to this offering and an immediate dilution of $1.17 per share to the new investors in this offering.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the immediate dilution to the new investors:</w:t>
            </w:r>
          </w:p>
        </w:tc>
        <w:tc>
          <w:tcPr>
            <w:tcW w:w="9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6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960" w:type="dxa"/>
            <w:vAlign w:val="bottom"/>
            <w:shd w:val="clear" w:color="auto" w:fill="CCEEFF"/>
          </w:tcPr>
          <w:p>
            <w:pPr>
              <w:spacing w:after="0"/>
              <w:rPr>
                <w:sz w:val="18"/>
                <w:szCs w:val="18"/>
                <w:color w:val="auto"/>
              </w:rPr>
            </w:pPr>
          </w:p>
        </w:tc>
        <w:tc>
          <w:tcPr>
            <w:tcW w:w="22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on September 30, 2024</w:t>
            </w:r>
          </w:p>
        </w:tc>
        <w:tc>
          <w:tcPr>
            <w:tcW w:w="9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0.23</w:t>
            </w:r>
          </w:p>
        </w:tc>
        <w:tc>
          <w:tcPr>
            <w:tcW w:w="11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on September 30, 2024</w:t>
            </w:r>
          </w:p>
        </w:tc>
        <w:tc>
          <w:tcPr>
            <w:tcW w:w="960" w:type="dxa"/>
            <w:vAlign w:val="bottom"/>
            <w:shd w:val="clear" w:color="auto" w:fill="CCEEFF"/>
          </w:tcPr>
          <w:p>
            <w:pPr>
              <w:spacing w:after="0"/>
              <w:rPr>
                <w:sz w:val="18"/>
                <w:szCs w:val="18"/>
                <w:color w:val="auto"/>
              </w:rPr>
            </w:pPr>
          </w:p>
        </w:tc>
        <w:tc>
          <w:tcPr>
            <w:tcW w:w="222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0.38</w:t>
            </w:r>
          </w:p>
        </w:tc>
        <w:tc>
          <w:tcPr>
            <w:tcW w:w="11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this offering</w:t>
            </w:r>
          </w:p>
        </w:tc>
        <w:tc>
          <w:tcPr>
            <w:tcW w:w="960" w:type="dxa"/>
            <w:vAlign w:val="bottom"/>
          </w:tcPr>
          <w:p>
            <w:pPr>
              <w:spacing w:after="0"/>
              <w:rPr>
                <w:sz w:val="18"/>
                <w:szCs w:val="18"/>
                <w:color w:val="auto"/>
              </w:rPr>
            </w:pPr>
          </w:p>
        </w:tc>
        <w:tc>
          <w:tcPr>
            <w:tcW w:w="222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0.20</w:t>
            </w:r>
          </w:p>
        </w:tc>
        <w:tc>
          <w:tcPr>
            <w:tcW w:w="1180" w:type="dxa"/>
            <w:vAlign w:val="bottom"/>
          </w:tcPr>
          <w:p>
            <w:pPr>
              <w:spacing w:after="0"/>
              <w:rPr>
                <w:sz w:val="18"/>
                <w:szCs w:val="18"/>
                <w:color w:val="auto"/>
              </w:rPr>
            </w:pPr>
          </w:p>
        </w:tc>
      </w:tr>
      <w:tr>
        <w:trPr>
          <w:trHeight w:val="198"/>
        </w:trPr>
        <w:tc>
          <w:tcPr>
            <w:tcW w:w="6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as adjusted net tangible book value per share as of September 30, 2024, after</w:t>
            </w:r>
          </w:p>
        </w:tc>
        <w:tc>
          <w:tcPr>
            <w:tcW w:w="9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4"/>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giving effect to this offering</w:t>
            </w:r>
          </w:p>
        </w:tc>
        <w:tc>
          <w:tcPr>
            <w:tcW w:w="96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0.58</w:t>
            </w:r>
          </w:p>
        </w:tc>
      </w:t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960" w:type="dxa"/>
            <w:vAlign w:val="bottom"/>
          </w:tcPr>
          <w:p>
            <w:pPr>
              <w:spacing w:after="0"/>
              <w:rPr>
                <w:sz w:val="20"/>
                <w:szCs w:val="20"/>
                <w:color w:val="auto"/>
              </w:rPr>
            </w:pPr>
          </w:p>
        </w:tc>
        <w:tc>
          <w:tcPr>
            <w:tcW w:w="22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r>
    </w:tbl>
    <w:p>
      <w:pPr>
        <w:spacing w:after="0" w:line="1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foregoing discussion and table do not take into account further dilution to new investors that could occur upon the exercise of outstanding options or warrants.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above discussion and table are based on 16,651,433, 20,242,119 and 24,242,120 actual, pro forma and pro forma as adjusted shares of our common stock outstanding as of September 30, 2024, respectively, and excludes the following securities:</w:t>
      </w:r>
    </w:p>
    <w:p>
      <w:pPr>
        <w:spacing w:after="0" w:line="162" w:lineRule="exact"/>
        <w:rPr>
          <w:sz w:val="20"/>
          <w:szCs w:val="20"/>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1,685,682 shares of our common stock issuable upon the exercise of outstanding series E preferred investment options expiring in July 2029, at an exercise price per share of $1.50;</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2,589,429 shares of our common stock issuable upon the exercise of outstanding stock options granted to employees, directors and consultants, with exercise prices ranging from approximately $0.005 to $15.75 and having a weighted-average exercise price of $4.58 per share;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637,779 shares of our common stock reserved for future grant under our 2020 Omnibus Performance Award Plan.</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this prospectus supplement assumes no exercise of the placement agent warrants and any securities issued in the concurrent private placement.</w:t>
      </w:r>
    </w:p>
    <w:p>
      <w:pPr>
        <w:sectPr>
          <w:pgSz w:w="11900" w:h="16927" w:orient="portrait"/>
          <w:cols w:equalWidth="0" w:num="1">
            <w:col w:w="11240"/>
          </w:cols>
          <w:pgMar w:left="320" w:top="684" w:right="339" w:bottom="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SECURITIES WE ARE OFFERING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offering shares of common stock. The following description of our shares of common stock summarizes the material terms and provisions thereof, including the material terms of the shares of common stock we are offering under this prospectus supplement and the accompanying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description of the rights associated with the common stock, see “Description of Common Stock” in the accompanying prospectus. Our common stock is listed on The Nasdaq Capital Market under the symbol “MBOT.” Our transfer agent is Computershare Trust Company, N.A.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PRIVATE PLACEMENT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Concurrent Private Placement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 concurrent private placement, we are also selling to the same institutional investors of our shares of common stock, unregistered series G preferred investment options to purchase up to 8,000,002 shares of our common stock (the “series G preferred investment options”). Each series G preferred investment option will be exercisable for one share of common stock at an exercise price of $1.75 commencing on the date of issuance and will expire two years from the initial exercise date.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holder of preferred investment options will not have the right to exercise any portion of its preferred investment options if the holder, together with its affiliates, would beneficially own in excess of 4.99% of the number of shares of common stock outstanding immediately after giving effect to such exercise; provided, however, that upon notice to the Company, the holder may increase or decrease such beneficial ownership limitation, provided that in no event shall such beneficial ownership limitation exceed 9.99% and any increase in the beneficial ownership limitation will not be effective until 61 days following notice of such increase from the holder to us. In addition, the holders of the preferred investment options will have the right to participate in any rights offering or distribution of assets together with the holders of our shares of common stock on an as-exercised basis.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preferred investment options and the shares of common stock issuable upon the exercise of such securities are not being registered under the Securities Act of 1933, as amended (the “Securities Act”), are not being offered pursuant to this prospectus supplement and the accompanying prospectus and are being offered pursuant to the exemption provided in Section 4(a)(2) under the Securities Act and Rule 506(b) promulgated thereunder. Accordingly, purchasers of the preferred investment options, may only sell shares of our common stock issued upon exercise of such securities being sold to them in the concurrent private placement, pursuant to an effective registration statement under the Securities Act covering the resale of those shares, an exemption under Rule 144 under the Securities Act or another applicable exemption under the Securities Act. None of the series G preferred investment options issued in the concurrent private placement are or will be listed for trading on any national securities exchange.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exercise price and number of the shares of common stock issuable upon the exercise of the preferred investment options will be subject to adjustment for stock splits, reverse splits, and similar capital transactions, as described in the preferred investment options. The preferred investment options will be exercisable on a “cashless” basis in certain circumstances.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if a fundamental transaction occurs, then the successor entity will succeed to, and be substituted for us, and may exercise every right and power that we may exercise and will assume all of our obligations under the preferred investment options with the same effect as if such successor entity had been named in the preferred investment option itself. If holders of our shares of common stock are given a choice as to the securities, cash or property to be received in a fundamental transaction, then the holder shall be given the same choice as to the consideration it receives upon any exercise of the preferred investment option following such fundamental transaction. As more fully described in the form of preferred investment option, in the event of certain fundamental transactions, the holders of the preferred investment options will be entitled to receive consideration in an amount equal to the Black Scholes value of the preferred investment option on the date of consummation of the transaction.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an engagement letter agreement dated May 29, 2024, as amended on January 3, 2025, we have engaged H.C. Wainwright &amp; Co., LLC, referred to herein as Wainwright or the placement agent, to act as our exclusive placement agent in connection with this offering. Under the terms of the engagement letter, Wainwright is not purchasing the securities offered by us in this offering, and is not required to sell any specific number or dollar amount of securities, but will assist us in this offering on a reasonable best efforts basis. The terms of this offering were subject to market conditions and negotiations between us, Wainwright and prospective investors. Wainwright will have no authority to bind us by virtue of the engagement letter. Wainwright may engage sub-agents or selected dealers to assist with this offering. We may not sell the entire amount of our shares of Common Stock offered pursuant to this prospectus supplement.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placement agent proposes to arrange for the sale of the securities we are offering pursuant to this prospectus supplement and accompanying prospectus to one or more institutional or accredited investors through securities purchase agreements directly between the purchaser and us. We will only sell to such investors who have entered into the securities purchase agreement with us.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Delivery of the securities offered hereby is expected to take place on or about January 7, 2025, subject to satisfaction of customary closing conditions.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An associated person of H.C. Wainwright &amp; Co., LLC has agreed to purchase in this offering, on the same terms and conditions, an aggregate of 228,572 shares of common stock (and 457,144 warrants in the concurrent private placement) for a total purchase price of $400,001.00.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agreed to pay the placement agent a cash fee of 7.0% of the aggregate gross proceeds raised in the offering, as well as a management fee equal to 1.0% of the gross proceeds raised in this offering. The following table shows the per share and total cash fees we will pay to the placement agent in connection with the sale of our securities offered pursuant to this prospectus supplement and the accompanying prospectus, assuming the purchase of all of the securities offered hereby.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2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7,000,001.75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agent’s fees (1)</w:t>
            </w:r>
          </w:p>
        </w:tc>
        <w:tc>
          <w:tcPr>
            <w:tcW w:w="358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0.1225</w:t>
            </w:r>
          </w:p>
        </w:tc>
        <w:tc>
          <w:tcPr>
            <w:tcW w:w="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490,000.12</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 (2)</w:t>
            </w:r>
          </w:p>
        </w:tc>
        <w:tc>
          <w:tcPr>
            <w:tcW w:w="3580" w:type="dxa"/>
            <w:vAlign w:val="bottom"/>
            <w:gridSpan w:val="2"/>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1.6275</w:t>
            </w:r>
          </w:p>
        </w:tc>
        <w:tc>
          <w:tcPr>
            <w:tcW w:w="6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6,510,001.63</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have agreed to reimburse the placement agent for its non-accountable expenses in the amount of $25,000, for its fees and expenses of legal counsel in the amount of up to $35,000, and for its clearing expenses in the amount of $15,950. We estimate the total offering expenses of this offering that will be payable by us, excluding the placement agent’s fees and expenses, will be approximately $70,000.</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will issue to the placement agent, or its designees, warrants to purchase up to 200,000 shares of Common Stock. The placement agent warrants will be exercisable immediately following issuance, will have an exercise price equal to $2.1875 and will have the same term as the preferred investment options offered to investors in this offering.</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securities purchase agreement that we entered into with the investor prohibits, with certain limited exceptions, us: (i) for thirty days following the closing date from issuing any shares of Common Stock or Common Stock Equivalents (as defined in the securities purchase agreement) or filing any registration statement (other than a Form S-8 or amendment or supplement to any previously filed registration statement), and (ii) for one year following the closing date from issuing any shares of Common Stock or Common Stock Equivalents in a Variable Rate Transaction (as defined in the securities purchase agreement).</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granted Wainwright, subject to certain exceptions, a right of first refusal for a period of twelve (12) months following the consummation of this offering to act as our exclusive underwriter or placement agent for any further capital raising transactions undertaken by us or any of our subsidiaries.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event that any investor whom the placement agent had contacted during the term of its engagement or introduced to the Company during the term of our engagement of the placement agent provides any capital to us, in a public or private offering or other financing or capital-raising transaction of any kind, within the six (6) months following the expiration of termination of the engagement of the placement agent, we shall pay the placement agent the cash and warrant compensation provided above, calculated in the same manner.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agreed to indemnify the placement agent and specified other persons against certain liabilities relating to or arising out of the placement agent’s activities under its engagement letter, including liabilities under the Securities Act, and to contribute to payments that the placement agent may be required to make in respect of such liabilities.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commissions received by it and any profit realized on the sale of our securities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placement agent or its affiliates may provide in the future various advisory, investment and commercial banking and other services to us in the ordinary course of business, for which they have received and may continue to receive customary fees and commissions. However, except as disclosed in this prospectus supplement, we have no present arrangements with the placement agent for any further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shares of Common Stock trade on the Nasdaq Capital Market under the ticker symbol “MBOT.”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validity of the shares being offered under this prospectus supplement by us will be passed upon for us by Mintz, Levin, Cohn, Ferris, Glovsky and Popeo, P.C., Boston, Massachusetts. Ellenoff Grossman &amp; Schole LLP, New York, New York is counsel to the placement agent in connection with this offering.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2023 and 2022, and for each of the two years in the period ended December 31, 2023, incorporated by reference in this Prospectus supplement, have been audited by Brightman Almagor Zohar &amp; Co., a Firm in the Deloitte Global Network, an independent registered public accounting firm, as stated in their report incorporated by reference herein. Such consolidated financial statements are included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website at http://www.sec.gov.</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only part of a registration statement on Form S-3 that we have filed with the SEC under the Securities Act and therefore omit certain information contained in the registration statement. We have also filed exhibits and schedules with the registration statement that are excluded from this prospectus supplement and the accompanying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maintain a website at www.microbotmedical.com, through which you can access our SEC filings. The information set forth on our website is not part of this prospectus supplement or the accompanying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incorporate by reference into this prospectus and the registration statement of which this prospectus is a part the information or documents listed below that we have filed with the SEC (Commission File No. 001-19871):</w:t>
      </w:r>
    </w:p>
    <w:p>
      <w:pPr>
        <w:spacing w:after="0" w:line="162"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w:t>
      </w:r>
      <w:hyperlink r:id="rId28">
        <w:r>
          <w:rPr>
            <w:rFonts w:ascii="Times New Roman" w:cs="Times New Roman" w:eastAsia="Times New Roman" w:hAnsi="Times New Roman"/>
            <w:sz w:val="18"/>
            <w:szCs w:val="18"/>
            <w:u w:val="single" w:color="auto"/>
            <w:color w:val="0000EE"/>
          </w:rPr>
          <w:t>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March 27, 2024;</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29">
        <w:r>
          <w:rPr>
            <w:rFonts w:ascii="Times New Roman" w:cs="Times New Roman" w:eastAsia="Times New Roman" w:hAnsi="Times New Roman"/>
            <w:sz w:val="18"/>
            <w:szCs w:val="18"/>
            <w:u w:val="single" w:color="auto"/>
            <w:color w:val="0000EE"/>
          </w:rPr>
          <w:t>March 31, 2024</w:t>
        </w:r>
      </w:hyperlink>
      <w:r>
        <w:rPr>
          <w:rFonts w:ascii="Times New Roman" w:cs="Times New Roman" w:eastAsia="Times New Roman" w:hAnsi="Times New Roman"/>
          <w:sz w:val="18"/>
          <w:szCs w:val="18"/>
          <w:color w:val="auto"/>
        </w:rPr>
        <w:t xml:space="preserve">, </w:t>
      </w:r>
      <w:hyperlink r:id="rId30">
        <w:r>
          <w:rPr>
            <w:rFonts w:ascii="Times New Roman" w:cs="Times New Roman" w:eastAsia="Times New Roman" w:hAnsi="Times New Roman"/>
            <w:sz w:val="18"/>
            <w:szCs w:val="18"/>
            <w:u w:val="single" w:color="auto"/>
            <w:color w:val="0000EE"/>
          </w:rPr>
          <w:t>June 30, 2024</w:t>
        </w:r>
      </w:hyperlink>
      <w:r>
        <w:rPr>
          <w:rFonts w:ascii="Times New Roman" w:cs="Times New Roman" w:eastAsia="Times New Roman" w:hAnsi="Times New Roman"/>
          <w:sz w:val="18"/>
          <w:szCs w:val="18"/>
          <w:color w:val="auto"/>
        </w:rPr>
        <w:t xml:space="preserve">, and </w:t>
      </w:r>
      <w:hyperlink r:id="rId31">
        <w:r>
          <w:rPr>
            <w:rFonts w:ascii="Times New Roman" w:cs="Times New Roman" w:eastAsia="Times New Roman" w:hAnsi="Times New Roman"/>
            <w:sz w:val="18"/>
            <w:szCs w:val="18"/>
            <w:u w:val="single" w:color="auto"/>
            <w:color w:val="0000EE"/>
          </w:rPr>
          <w:t>September 30, 2024</w:t>
        </w:r>
      </w:hyperlink>
      <w:r>
        <w:rPr>
          <w:rFonts w:ascii="Times New Roman" w:cs="Times New Roman" w:eastAsia="Times New Roman" w:hAnsi="Times New Roman"/>
          <w:sz w:val="18"/>
          <w:szCs w:val="18"/>
          <w:color w:val="auto"/>
        </w:rPr>
        <w:t>, filed with the SEC on May 15, 2024, August 14, 2024, and November 13, 2024, respectively;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6"/>
        </w:numPr>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18,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30,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27,</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17,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w:t>
        </w:r>
      </w:hyperlink>
      <w:r>
        <w:rPr>
          <w:rFonts w:ascii="Times New Roman" w:cs="Times New Roman" w:eastAsia="Times New Roman" w:hAnsi="Times New Roman"/>
          <w:sz w:val="18"/>
          <w:szCs w:val="18"/>
          <w:color w:val="0000EE"/>
        </w:rPr>
        <w:t xml:space="preserve"> </w:t>
      </w:r>
      <w:hyperlink r:id="rId33">
        <w:r>
          <w:rPr>
            <w:rFonts w:ascii="Times New Roman" w:cs="Times New Roman" w:eastAsia="Times New Roman" w:hAnsi="Times New Roman"/>
            <w:sz w:val="18"/>
            <w:szCs w:val="18"/>
            <w:u w:val="single" w:color="auto"/>
            <w:color w:val="0000EE"/>
          </w:rPr>
          <w:t>18, 2024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4">
        <w:r>
          <w:rPr>
            <w:rFonts w:ascii="Times New Roman" w:cs="Times New Roman" w:eastAsia="Times New Roman" w:hAnsi="Times New Roman"/>
            <w:sz w:val="18"/>
            <w:szCs w:val="18"/>
            <w:u w:val="single" w:color="auto"/>
            <w:color w:val="0000EE"/>
          </w:rPr>
          <w:t>August 1, 2024</w:t>
        </w:r>
      </w:hyperlink>
      <w:hyperlink r:id="rId3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5">
        <w:r>
          <w:rPr>
            <w:rFonts w:ascii="Times New Roman" w:cs="Times New Roman" w:eastAsia="Times New Roman" w:hAnsi="Times New Roman"/>
            <w:sz w:val="18"/>
            <w:szCs w:val="18"/>
            <w:u w:val="single" w:color="auto"/>
            <w:color w:val="0000EE"/>
          </w:rPr>
          <w:t>August 13, 2024</w:t>
        </w:r>
      </w:hyperlink>
      <w:hyperlink r:id="rId3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6">
        <w:r>
          <w:rPr>
            <w:rFonts w:ascii="Times New Roman" w:cs="Times New Roman" w:eastAsia="Times New Roman" w:hAnsi="Times New Roman"/>
            <w:sz w:val="18"/>
            <w:szCs w:val="18"/>
            <w:u w:val="single" w:color="auto"/>
            <w:color w:val="0000EE"/>
          </w:rPr>
          <w:t>August 22, 2024</w:t>
        </w:r>
      </w:hyperlink>
      <w:hyperlink r:id="rId3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7">
        <w:r>
          <w:rPr>
            <w:rFonts w:ascii="Times New Roman" w:cs="Times New Roman" w:eastAsia="Times New Roman" w:hAnsi="Times New Roman"/>
            <w:sz w:val="18"/>
            <w:szCs w:val="18"/>
            <w:u w:val="single" w:color="auto"/>
            <w:color w:val="0000EE"/>
          </w:rPr>
          <w:t>September 17, 2024</w:t>
        </w:r>
      </w:hyperlink>
      <w:hyperlink r:id="rId3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8">
        <w:r>
          <w:rPr>
            <w:rFonts w:ascii="Times New Roman" w:cs="Times New Roman" w:eastAsia="Times New Roman" w:hAnsi="Times New Roman"/>
            <w:sz w:val="18"/>
            <w:szCs w:val="18"/>
            <w:u w:val="single" w:color="auto"/>
            <w:color w:val="0000EE"/>
          </w:rPr>
          <w:t>September 30, 2024</w:t>
        </w:r>
      </w:hyperlink>
      <w:hyperlink r:id="rId3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9">
        <w:r>
          <w:rPr>
            <w:rFonts w:ascii="Times New Roman" w:cs="Times New Roman" w:eastAsia="Times New Roman" w:hAnsi="Times New Roman"/>
            <w:sz w:val="18"/>
            <w:szCs w:val="18"/>
            <w:u w:val="single" w:color="auto"/>
            <w:color w:val="0000EE"/>
          </w:rPr>
          <w:t>October 11, 2024</w:t>
        </w:r>
      </w:hyperlink>
      <w:hyperlink r:id="rId3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0">
        <w:r>
          <w:rPr>
            <w:rFonts w:ascii="Times New Roman" w:cs="Times New Roman" w:eastAsia="Times New Roman" w:hAnsi="Times New Roman"/>
            <w:sz w:val="18"/>
            <w:szCs w:val="18"/>
            <w:u w:val="single" w:color="auto"/>
            <w:color w:val="0000EE"/>
          </w:rPr>
          <w:t>October 15, 2024</w:t>
        </w:r>
      </w:hyperlink>
      <w:hyperlink r:id="rId33">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hyperlink r:id="rId41">
        <w:r>
          <w:rPr>
            <w:rFonts w:ascii="Times New Roman" w:cs="Times New Roman" w:eastAsia="Times New Roman" w:hAnsi="Times New Roman"/>
            <w:sz w:val="18"/>
            <w:szCs w:val="18"/>
            <w:u w:val="single" w:color="auto"/>
            <w:color w:val="0000EE"/>
          </w:rPr>
          <w:t>December 10,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2">
        <w:r>
          <w:rPr>
            <w:rFonts w:ascii="Times New Roman" w:cs="Times New Roman" w:eastAsia="Times New Roman" w:hAnsi="Times New Roman"/>
            <w:sz w:val="18"/>
            <w:szCs w:val="18"/>
            <w:u w:val="single" w:color="auto"/>
            <w:color w:val="0000EE"/>
          </w:rPr>
          <w:t>December 19,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3">
        <w:r>
          <w:rPr>
            <w:rFonts w:ascii="Times New Roman" w:cs="Times New Roman" w:eastAsia="Times New Roman" w:hAnsi="Times New Roman"/>
            <w:sz w:val="18"/>
            <w:szCs w:val="18"/>
            <w:u w:val="single" w:color="auto"/>
            <w:color w:val="0000EE"/>
          </w:rPr>
          <w:t xml:space="preserve">January 6, 2025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for information contained therein which is furnished rather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filed).</w:t>
      </w:r>
    </w:p>
    <w:p>
      <w:pPr>
        <w:spacing w:after="0" w:line="183" w:lineRule="exact"/>
        <w:rPr>
          <w:rFonts w:ascii="Times New Roman" w:cs="Times New Roman" w:eastAsia="Times New Roman" w:hAnsi="Times New Roman"/>
          <w:sz w:val="18"/>
          <w:szCs w:val="18"/>
          <w:color w:val="0000EE"/>
        </w:rPr>
      </w:pPr>
    </w:p>
    <w:p>
      <w:pPr>
        <w:ind w:left="980" w:right="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44">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with the SEC on August 3, 1998, including all amendments and reports filed for the purpose of updating such description.</w:t>
      </w:r>
    </w:p>
    <w:p>
      <w:pPr>
        <w:spacing w:after="0" w:line="162" w:lineRule="exact"/>
        <w:rPr>
          <w:rFonts w:ascii="Times New Roman" w:cs="Times New Roman" w:eastAsia="Times New Roman" w:hAnsi="Times New Roman"/>
          <w:sz w:val="18"/>
          <w:szCs w:val="18"/>
          <w:color w:val="0000EE"/>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documents we file with the SEC pursuant to Sections 13(a), 13(c), 14 or 15(d) of the Exchange Act, except as to any portion of any report or documents that is not deemed filed under such provisions, on or after the date of this prospectus supplement until the termination of this offering shall be deemed incorporated by reference in this prospectus supplement and the accompanying prospectus and to be a part of this prospectus supplement from the date of filing of those documents.</w:t>
      </w:r>
    </w:p>
    <w:p>
      <w:pPr>
        <w:spacing w:after="0" w:line="180" w:lineRule="exact"/>
        <w:rPr>
          <w:rFonts w:ascii="Times New Roman" w:cs="Times New Roman" w:eastAsia="Times New Roman" w:hAnsi="Times New Roman"/>
          <w:sz w:val="18"/>
          <w:szCs w:val="18"/>
          <w:color w:val="0000EE"/>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copy of this prospectus supplement is delivered, a copy of any or all of the information that has been incorporated by reference in this prospectus supplement but not delivered with this prospectus supplement (other than the exhibits to such documents which are not specifically incorporated by reference therein); we will provide this information at no cost to the requester upon written or oral request to: Microbot Medical Inc. Attn: Chief Financial Officer, 288 Grove Street, Suite 388, Braintree, Massachusetts 02184. You may also telephone us at (781) 875-3605.</w:t>
      </w:r>
    </w:p>
    <w:p>
      <w:pPr>
        <w:spacing w:after="0" w:line="183" w:lineRule="exact"/>
        <w:rPr>
          <w:rFonts w:ascii="Times New Roman" w:cs="Times New Roman" w:eastAsia="Times New Roman" w:hAnsi="Times New Roman"/>
          <w:sz w:val="18"/>
          <w:szCs w:val="18"/>
          <w:color w:val="0000EE"/>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76"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156845</wp:posOffset>
            </wp:positionV>
            <wp:extent cx="2631440" cy="1320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2631440"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will allow us to issue, from time to time at prices and on terms to be determined at or prior to the time of the offering, up to $75,000,000 of any combination of the securities described in this prospectus, either individually or in units. We may also offer common stock or preferred stock upon conversion of or exchange for the debt securities; common stock upon conversion of or exchange for the preferred stock; or common stock, preferred stock or debt securities upon the exercise of warrants or rights.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securities may be sold directly by us to you, through agents designated from time to time or to or through underwriters or dealers. For additional information on the methods of sale, you should refer to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 If information in any prospectus supplement is inconsistent with the information in this prospectus, then the information in that prospectus supplement will apply and will supersede the information in this prospectus.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November 29, 2023, the last reported sale price of our common stock on The Nasdaq Capital Market was $1.26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deciding whether to invest in our securities, you should consider carefully the risks that we have described on page 6 of this prospectus under the caption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We may include specific risk factors in supplements to this prospectus under the caption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This prospectus may not be used to sell our securities unless accompanied by a prospectus supplement.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5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8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4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189"/>
        </w:trPr>
        <w:tc>
          <w:tcPr>
            <w:tcW w:w="2200" w:type="dxa"/>
            <w:vAlign w:val="bottom"/>
            <w:tcBorders>
              <w:bottom w:val="single" w:sz="8" w:color="0000EE"/>
            </w:tcBorders>
            <w:gridSpan w:val="7"/>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PROSPECTUS SUMMARY</w:t>
            </w:r>
          </w:p>
        </w:tc>
        <w:tc>
          <w:tcPr>
            <w:tcW w:w="8400" w:type="dxa"/>
            <w:vAlign w:val="bottom"/>
            <w:tcBorders>
              <w:bottom w:val="single" w:sz="8" w:color="CCEEFF"/>
            </w:tcBorders>
            <w:gridSpan w:val="9"/>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r>
      <w:tr>
        <w:trPr>
          <w:trHeight w:val="176"/>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1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CAUTIONARY NOTE REGARDING FORWARD-LOOKING STATEMENTS</w:t>
            </w:r>
          </w:p>
        </w:tc>
        <w:tc>
          <w:tcPr>
            <w:tcW w:w="44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6"/>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COMMON STOCK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PREFERRED STOCK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336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WARRANTS</w:t>
            </w:r>
          </w:p>
        </w:tc>
        <w:tc>
          <w:tcPr>
            <w:tcW w:w="724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DEBT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6"/>
        </w:trPr>
        <w:tc>
          <w:tcPr>
            <w:tcW w:w="322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RIGHTS</w:t>
            </w:r>
          </w:p>
        </w:tc>
        <w:tc>
          <w:tcPr>
            <w:tcW w:w="738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5"/>
        </w:trPr>
        <w:tc>
          <w:tcPr>
            <w:tcW w:w="214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846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EXPERTS</w:t>
            </w:r>
          </w:p>
        </w:tc>
        <w:tc>
          <w:tcPr>
            <w:tcW w:w="976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6"/>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INCORPORATION OF CERTAIN INFORMATION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SEC, utilizing a “shelf” registration process. Under this shelf registration process, we may offer shares of our common stock or preferred stock, various series of debt securities and/or warrants or rights to purchase any of such securities, either individually or in units, in one or more offerings, with a total value of up to $75,000,000.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before making an investment decision.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the terms “Microbot,” the “Company,” “we,” “our” or “us” in this prospectus refer to Microbot Medical Inc. and its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about our Company, the offering of our securities under this prospectus and information appearing elsewhere in this prospectus and in the documents we incorporate by reference. This summary is not complete and does not contain all the information that you should consider before investing in our securities. You should read this entire prospectus carefully, including “Risk Factors” contained in this prospectus beginning on page 6, and the more detailed financial statements, notes to the consolidated financial statements and other information incorporated by reference from our filings with the SEC or included in any applicable prospectus supplement. Investing in our securities involves risks. Therefore, carefully consider the risk factors set forth in any prospectus supplement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Core-Business Focus Program</w:t>
      </w:r>
    </w:p>
    <w:p>
      <w:pPr>
        <w:spacing w:after="0" w:line="22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On May 15, 2023, the Board of Directors of the Company authorized, and the Company commenced, a core-business focus program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This core-business focus program includes the cessation of research and development activities not related to LIBERTY, including terminating the Company’s agreement with CardioSert for that technology, and returning intellectual property relating to the SCS (ViRob) and TipCat to Technion Research and Development Foundation.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Reduction Plan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core-business focus program described above, the Board of Directors of the Company authorized, and the Company commenced, a cost reduction plan while the Company seeks to raise additional capital to continue development of the LIBERTY robotic system.</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May and June 2023, we raised sufficient capital that, together with the ongoing savings from the cost reduction plan, has enabled us to continue our operations through approximately April of 2024, including completion of the V&amp;V study, perform the GLP study and submit the IDE to the US Food &amp; Drug Administration. We also, retroactive to November 1, 2023, recommenced paying Rachel Vaknin, our CFO, and Simon Sharon, our CTO and General Manager, their regular salaries and benefits that were previously reduced as a result of the cost reduction plan. Continuing the continuing commitment of Harel Gadot, our CEO, to the Company to support it financially while it completes its current development and regulatory activities, his compensation will continue to be subject to his 50% reduction as part of the cost reduction plan. We continue to seek new sources of capital to stabilize our finances and provide operating runway subsequent to April of 2024. In the event the Company is not successful in raising additional capital by April of 2024, or if the results of the V&amp;V study and first-in-human trials are not promising, the Company may be forced to take more drastic actions to conserve capital or shut down operations entirely.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First-In-Human Clinical Cases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final report from our recently completed pivotal pre-clinical study using the LIBERTY Robotic Surgical System which is expected before the end of 2023, and the completion of the verification and validation (V&amp;V) process of which certain phases have been completed but others are ongoing and may be subject to delays indirectly caused by the Israel-Hamas war described below, we plan on submitting the Investigational Device Exemption (IDE) application to the U.S. Food and Drug Administration in the first quarter of 2024, in order to commence a pivotal clinical trial in humans. In addition, we are considering secondary options and contingencies in the event the IDE application is delayed. After initially considering potential First-In-Human cases in Brazil, by engaging with interventional radiologist Prof. Francisco Cesar Carnevale from University of Sao Paulo Medical School Hospital, we determined that first-in-human clinical trials in Brazil have similar requirements as in the United States. Furthermore, we are still in the process of evaluating the potential of utilizing Greece as an option to carry our First-In Human Cases. However, although we believe Brazil and Greece remain strategically important for commercialization of our LIBERTY device, we decided not to pursue First-In-Human trials or cases outside of the United States at this time to avoid conflict with our FDA submission process.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Israel-Hamas War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LIBERTY</w:t>
      </w:r>
      <w:r>
        <w:rPr>
          <w:rFonts w:ascii="Times New Roman" w:cs="Times New Roman" w:eastAsia="Times New Roman" w:hAnsi="Times New Roman"/>
          <w:sz w:val="29"/>
          <w:szCs w:val="29"/>
          <w:color w:val="auto"/>
          <w:vertAlign w:val="superscript"/>
        </w:rPr>
        <w:t>®</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LIBERTY’s addressable markets are the Interventional Cardiology, Interventional Radiology and Interventional Neuroradiology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unique characteristics of LIBERTY – compact, mobile, disposable and remotely controlled - open the opportunity of expanding telerobotic interventions to patients with limited access to life-saving procedures, such as mechanical thrombectomy in ischemic stroke.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LIBERTY is being designed to have the following attributes:</w:t>
      </w:r>
    </w:p>
    <w:p>
      <w:pPr>
        <w:spacing w:after="0" w:line="225"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and only fully disposable, robotic system for endovascular procedures.</w:t>
      </w:r>
    </w:p>
    <w:p>
      <w:pPr>
        <w:spacing w:after="0" w:line="9" w:lineRule="exact"/>
        <w:rPr>
          <w:rFonts w:ascii="Times New Roman" w:cs="Times New Roman" w:eastAsia="Times New Roman" w:hAnsi="Times New Roman"/>
          <w:sz w:val="18"/>
          <w:szCs w:val="18"/>
          <w:color w:val="auto"/>
        </w:rPr>
      </w:pPr>
    </w:p>
    <w:p>
      <w:pPr>
        <w:ind w:left="1300" w:right="20" w:hanging="644"/>
        <w:spacing w:after="0" w:line="182" w:lineRule="auto"/>
        <w:tabs>
          <w:tab w:leader="none" w:pos="1300" w:val="left"/>
        </w:tabs>
        <w:numPr>
          <w:ilvl w:val="0"/>
          <w:numId w:val="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Can be made compatible with Microbot’s NitiLoop’s NovaCross products or possibly other guidewire/microcatheter technologies, that combines guidewire and microcatheter into a single device.</w:t>
      </w:r>
    </w:p>
    <w:p>
      <w:pPr>
        <w:spacing w:after="0" w:line="1" w:lineRule="exact"/>
        <w:rPr>
          <w:rFonts w:ascii="Times New Roman" w:cs="Times New Roman" w:eastAsia="Times New Roman" w:hAnsi="Times New Roman"/>
          <w:sz w:val="36"/>
          <w:szCs w:val="36"/>
          <w:color w:val="auto"/>
          <w:vertAlign w:val="superscript"/>
        </w:rPr>
      </w:pPr>
    </w:p>
    <w:p>
      <w:pPr>
        <w:ind w:left="1300" w:hanging="644"/>
        <w:spacing w:after="0" w:line="250"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rotational and tip control of its guidewire, as well as linear motion for an additional “over the wire” device.</w:t>
      </w: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9"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ind w:left="1300" w:hanging="644"/>
        <w:spacing w:after="0"/>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 of use - LIBERTY’s intuitive remote controls aims to simplify advanced procedures while shortening the physician’s learning curve.</w:t>
      </w:r>
    </w:p>
    <w:p>
      <w:pPr>
        <w:spacing w:after="0" w:line="20"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 instruments with our LIBERTY Robotic System to address certain neurovascular procedures. The activities contemplated by the Agreement shall be specified in one or more development plans derived from the terms and conditions set forth in the Agreement. We are still determining scheduling to move the collaboration forward.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December 2021, we achieved design freeze of the LIBERTY device.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first quarter of 2022, we filed our pre-submission package for the LIBERTY Robotic System with the FDA, addressing the regulatory pathway for the LIBERTY Robotic System. On July 22, 2022, the Company completed a pre-submission process with the FDA regarding the LIBERTY device. Formal feedback from the FDA included a recommendation to perform a clinical study and a human factors validation study, to support clearance through the 510(k) notification process.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September and October 2022, the Company conducted an animal study at an FDA accredited European-based MedTech research laboratory, which was performed by a team of seasoned Key Opinion Leaders (KOLs) in the endovascular space, using porcine model. During the animal study, the physicians conducted 63 navigations to the targeted sites using the investigational LIBERTY Robotic System and performed an equal number of procedures manually. The LIBERTY Robotic System received positive feedback from participating physicians, and there were no observable immediate intraoperative adverse events, or harm, to the test subjects. The report from the animal study, which included histopathology data (the microscopic examination of tissue to study the manifestations of disease), exhibited equivocal results which were identified as related to unusual physiological animal responses in both manual and robotic test groups. The Company believes the results of the study allow it to move forward and focus on the next phases to ultimately include a U.S.-based pivotal pre-clinical study. The Company, together with its regulatory experts and consultants, believe a larger sample size and robust data generated by this study will advance the company’s efforts towards the submission of an Investigational Device Exemption (IDE) with the U.S. Food and Drug Administration (FDA).</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3, 2023, we announced that the LIBERTY Robotic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 Robotic Surgical System’s remote operation capabilities, to pre-determined vascular targets, with a 100% success rate of reaching the intended target with no observable on-site complications.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 Robotic Surgical System. The pivotal study was conducted by three leading interventional radiologists that utilized the LIBERTY Robotic Surgical System to reach a total of 48 animal targets. A total of 6 LIBERTY Systems were used in the study, and each was used to reach a total of 8 targets. All 6 LIBERTY Systems performed flawlessly, with 100% usability and technical success. No acute adverse events or complications were visually observed intra-operative. We expect to receive the comprehensive final report later in the fourth quarter of 2023. Subject to the final report, and the completion of the verification and validation process which is ongoing but subject to delays indirectly caused by the Israel-Hamas war described above, we plan on submitting the Investigational Device Exemption application to the FDA in the first quarter of 2024, in order to commence our pivotal clinical trial in humans.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NovaCross</w:t>
      </w:r>
      <w:r>
        <w:rPr>
          <w:rFonts w:ascii="Times New Roman" w:cs="Times New Roman" w:eastAsia="Times New Roman" w:hAnsi="Times New Roman"/>
          <w:sz w:val="29"/>
          <w:szCs w:val="29"/>
          <w:b w:val="1"/>
          <w:bCs w:val="1"/>
          <w:color w:val="auto"/>
          <w:vertAlign w:val="superscript"/>
        </w:rPr>
        <w:t>TM</w:t>
      </w:r>
    </w:p>
    <w:p>
      <w:pPr>
        <w:spacing w:after="0" w:line="1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Technologies and Platforms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second and third quarters of 2023, as a result of our core-business focus program and our cost reduction plan, we ceased research and development activities relating to the technology we acquired from CardioSert, and with respect to our SCS and TipCat platforms. As a result, we terminated the Company’s agreement with CardioSert for that technology, and returned intellectual property relating to the SCS (ViRob) and TipCat to Technion Research and Development Foundation.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including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2022 and our Quarterly Reports on Form 10-Q for the three months ended March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2023 and September 30, 2023, as described under the caption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b w:val="1"/>
          <w:bCs w:val="1"/>
          <w:color w:val="auto"/>
        </w:rPr>
        <w:t>24</w:t>
      </w:r>
      <w:r>
        <w:rPr>
          <w:rFonts w:ascii="Times New Roman" w:cs="Times New Roman" w:eastAsia="Times New Roman" w:hAnsi="Times New Roman"/>
          <w:sz w:val="18"/>
          <w:szCs w:val="18"/>
          <w:color w:val="auto"/>
        </w:rPr>
        <w:t xml:space="preserve"> of this prospectus.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288 Grove Street, Suite 388, Braintree, MA 02184. Microbot also has an executive office at 6 Hayozma Street, Yoqneam,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Offerings Under This Prospectus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this prospectus, we may offer shares of our common stock or preferred stock, various series of debt securities and/or warrants or rights to purchase any such securities, either individually or in units, with a total value of up to $75,000,000,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conversion terms,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exercise prices, if any.</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IT IS ACCOMPANIED BY A PROSPECTUS SUPPLEMENT.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significant risk. The prospectus supplement applicable to each offering of our securities may contain a discussion of the risks applicable to an investment in Microbot. Prior to making a decision about investing in our securities, you should consider the “Risk Factors” included and incorporated by reference in this prospectus and any applicable prospectus supplement, including the risk factors incorporated by reference from our most recent Annual Report on Form 10-K, as updated by our Quarterly Reports on Form 10-Q and our other filings with the SEC pursuant to Sections 13(a), 13(c), 14 or 15(d) of the Exchange Act filed after such annual report.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the FDA,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the Company’s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regulatory and military developments in Israel including disruptions resulting from new and ongoing hostilities between Israel and the Palestinians, such as employees of Microbot and its vendors and business partners being called to active military duty; and other risks to which we are subject.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as supplemented by our subsequent Quarterly Reports on Form 10-Q or our Current Reports on Form 8-K, discussing some of the factors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our operations, our further development and commercialization of our product candidates, other general corporate purposes, which may include, but are not limited to, working capital, intellectual property protection and enforcement, capital expenditures, repayment of indebtedness and collaborations, and the costs of acquiring, licensing or investing in new and existing businesses, product candidates and technologies.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or interest-bearing securities in accordance with our cash-management policies. Additional information on the use of proceeds from the sale of securities offered by this prospectus may be set forth in the prospectus supplement relating to that offering.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offer securities under this prospectus from time to time pursuant to public offerings through one or more placement agents or underwriters,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80"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 from time to time;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 prevailing market prices;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directly solicit offers to purchase the securities being offered by this prospectus. We may also designate agents to solicit offers to purchase the securities from time to time, and may enter into arrangements for “at the market,” equity line or similar transactions. We will name in a prospectus supplement any underwriter or agent involved in the offer or sale of the securities.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9"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Shares of our common stock sold pursuant to the registration statement of which this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par value $0.01 per share. As of November 29, 2023 we had 11,707,317 shares of common stock issued and outstanding and approximately 100 common stockholders of record. The following summary of certain provisions of our common stock does not purport to be complete. You should refer to our certificate of incorporation and our bylaws, copies of which are on file with the SEC as exhibits to previous SEC filings. Please refer to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below for directions on obtaining these documents. The summary below is also qualified by provisions of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for quotation on the Nasdaq Capital Market under the symbol “MBOT.”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authority to issue 1,000,000 shares of preferred stock, par value $0.01 per share. As of the date of this prospectus, no shares of our preferred stock were outstanding or designated.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provisions of our preferred stock does not purport to be complete. You should refer to our certificate of incorporation and by-laws, as amended to date, copies of which are on file with the SEC as exhibits to previous SEC filings. Please refer to “</w:t>
      </w:r>
      <w:r>
        <w:rPr>
          <w:rFonts w:ascii="Times New Roman" w:cs="Times New Roman" w:eastAsia="Times New Roman" w:hAnsi="Times New Roman"/>
          <w:sz w:val="18"/>
          <w:szCs w:val="18"/>
          <w:i w:val="1"/>
          <w:iCs w:val="1"/>
          <w:color w:val="auto"/>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 Find More Information</w:t>
      </w:r>
      <w:r>
        <w:rPr>
          <w:rFonts w:ascii="Times New Roman" w:cs="Times New Roman" w:eastAsia="Times New Roman" w:hAnsi="Times New Roman"/>
          <w:sz w:val="18"/>
          <w:szCs w:val="18"/>
          <w:color w:val="auto"/>
        </w:rPr>
        <w:t>” below for directions on obtaining these documents. The summary below is also qualified by provisions of applicable law.</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is authorized, without stockholder approval, from time to time, to issue shares of preferred stock in series and may, at the time of issuance, subject to Delaware law and our certificate of incorporation and by-laws,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offered, the liquidation preference per share and the purchase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for such dividends;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if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conversion period;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exchange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liquidation, dissolution or winding up of the affairs of the Company;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limitations on issuance of any class or series of preferred stock ranking senior to or on a parity with the series of preferred stock as to dividend rights and rights upon liquidation, dissolution or winding up of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preferred stock offered by this prospectus will, when issued, be fully paid and nonassessable and will not have, or be subject to, any preemptive or similar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any series or class of preferred stock will be set forth in the applicable prospectus supplement.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to the warrants.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common stock and the number of shares of common stock to be received upon exercise of the warrants;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preferred stock, the number of shares of preferred stock to be received upon exercise, and a description of that series of our preferred stock;</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debt securities to be received upon exercise, and a description of that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common stock, preferred stock and/or debt securities will be separately transferable;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29, 2023, we had outstanding:</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1,022,495 shares of our common stock issuable upon the exercise of outstanding series A preferred investment options expiring in October 2027, originally at an exercise price per share of $4.64 but amended to a reduced exercise price per share of $2.20 in connection with the offering that was consummated on May 24, 2023;</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June 2028, at an exercise price per share of $2.6719;</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350,878 shares of our common stock issuable upon the exercise of outstanding series C preferred investment options expiring in December 2028, at an exercise price per share of $2.075;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312,309 shares of our common stock issuable upon the exercise of outstanding series D preferred investment options expiring in December 2028, at an exercise price per share of $3.19;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any warrants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or the Trust Indenture Act,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indenture provides that debt securities may be issued from time to time in one or more series and may be denominated and payable in foreign currencies or units based on or relating to foreign currencies. Neither the senior indenture nor any subordinated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or designation;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on the amount that may be issued;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series of debt securities in global form, the terms of any global securities and who the depositary will be;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the date or dates on which principal will be payable;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redemption provisions;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pay dividends, or will require us to maintain any asset ratios or reserves;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restricted from incurring any additional 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on any material or special U.S. federal income tax considerations applicable to a series of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our failure continues for 90 days and the time for payment has not been extended or deferred;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the time for payment has not been extended or delayed;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as to 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acceleration under the indenture may constitute an event of default under certain of our other indebtedness outstanding from time to time.</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8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only have the right to institute a proceeding under the indentures or to appoint a receiver or trustee, or to seek other remedies if:</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previously has given written notice to the debenture trustee of a continuing event of default with respect to that series;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will periodically file statements with the applicable debenture trustee regarding our compliance with specified covenants in the applicable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debenture trustee and we may change the applicable indenture without the consent of any holders with respect to specific matters, including:</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issued pursuant to such indenture.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3"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any premium payable upon the redemption of any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of discount securities payable upon acceleration of maturity;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principal of or premium or interest on any debt security payable in currency other than that stated in the debt security;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obligations to:</w:t>
      </w:r>
    </w:p>
    <w:p>
      <w:pPr>
        <w:spacing w:after="0" w:line="16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75"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Debenture Trustee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 of Subordinated Debt Securities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auto"/>
        </w:rPr>
        <w:t>We will provide in a prospectus supplement the following terms of the rights being issued:</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stockholders entitled to the rights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common stock, preferred stock or other securities purchasable upon exercise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rights are transferrable and the date, if any, on and after which the rights may be separately transferred;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to exercise the rights will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by which holders of rights will be entitled to exercise;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completion of the offering,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termination and cancellation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are any backstop or standby purchaser or purchasers and the terms of their commitment,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stockholders are entitled to oversubscription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considerations;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 as applicable.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agent for any rights we offer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The provisions described in this section, as well as those set forth in any prospectus supplement or as described under “</w:t>
      </w:r>
      <w:r>
        <w:rPr>
          <w:rFonts w:ascii="Times New Roman" w:cs="Times New Roman" w:eastAsia="Times New Roman" w:hAnsi="Times New Roman"/>
          <w:sz w:val="18"/>
          <w:szCs w:val="18"/>
          <w:i w:val="1"/>
          <w:iCs w:val="1"/>
          <w:color w:val="auto"/>
        </w:rPr>
        <w:t>Description of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Preferred 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Warrants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Rights</w:t>
      </w:r>
      <w:r>
        <w:rPr>
          <w:rFonts w:ascii="Times New Roman" w:cs="Times New Roman" w:eastAsia="Times New Roman" w:hAnsi="Times New Roman"/>
          <w:sz w:val="18"/>
          <w:szCs w:val="18"/>
          <w:color w:val="auto"/>
        </w:rPr>
        <w:t>” will apply to each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applicable, and to any common stock, preferred stock, debt security, warrant or right included in each unit, as applicable.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AND BYLAWS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provisions for stockholder proposals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stockholder action by written consent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Super-majority stockholder vote required for certain 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Eighth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validity of the shares being offered under this prospectus by us will be passed upon for us by Ruskin Moscou Faltischek, P.C., Uniondale,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2022 and 2021, and for each of the two years in the period ended December 31, 2022,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spacing w:after="0" w:line="188"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2022 filed with the SEC on </w:t>
      </w:r>
      <w:hyperlink r:id="rId72">
        <w:r>
          <w:rPr>
            <w:rFonts w:ascii="Times New Roman" w:cs="Times New Roman" w:eastAsia="Times New Roman" w:hAnsi="Times New Roman"/>
            <w:sz w:val="18"/>
            <w:szCs w:val="18"/>
            <w:u w:val="single" w:color="auto"/>
            <w:color w:val="0000EE"/>
          </w:rPr>
          <w:t>March 31, 2023</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2023, June 30, 2023 and September 30, 2023 that we filed with the SEC on </w:t>
      </w:r>
      <w:hyperlink r:id="rId73">
        <w:r>
          <w:rPr>
            <w:rFonts w:ascii="Times New Roman" w:cs="Times New Roman" w:eastAsia="Times New Roman" w:hAnsi="Times New Roman"/>
            <w:sz w:val="18"/>
            <w:szCs w:val="18"/>
            <w:u w:val="single" w:color="auto"/>
            <w:color w:val="0000EE"/>
          </w:rPr>
          <w:t>May 17, 2023</w:t>
        </w:r>
      </w:hyperlink>
      <w:r>
        <w:rPr>
          <w:rFonts w:ascii="Times New Roman" w:cs="Times New Roman" w:eastAsia="Times New Roman" w:hAnsi="Times New Roman"/>
          <w:sz w:val="18"/>
          <w:szCs w:val="18"/>
          <w:color w:val="auto"/>
        </w:rPr>
        <w:t xml:space="preserve">, </w:t>
      </w:r>
      <w:hyperlink r:id="rId74">
        <w:r>
          <w:rPr>
            <w:rFonts w:ascii="Times New Roman" w:cs="Times New Roman" w:eastAsia="Times New Roman" w:hAnsi="Times New Roman"/>
            <w:sz w:val="18"/>
            <w:szCs w:val="18"/>
            <w:u w:val="single" w:color="auto"/>
            <w:color w:val="0000EE"/>
          </w:rPr>
          <w:t>August 14,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5">
        <w:r>
          <w:rPr>
            <w:rFonts w:ascii="Times New Roman" w:cs="Times New Roman" w:eastAsia="Times New Roman" w:hAnsi="Times New Roman"/>
            <w:sz w:val="18"/>
            <w:szCs w:val="18"/>
            <w:u w:val="single" w:color="auto"/>
            <w:color w:val="0000EE"/>
          </w:rPr>
          <w:t>November 14, 2023</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0"/>
        </w:numPr>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23,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18,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22,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24,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w:t>
        </w:r>
      </w:hyperlink>
      <w:r>
        <w:rPr>
          <w:rFonts w:ascii="Times New Roman" w:cs="Times New Roman" w:eastAsia="Times New Roman" w:hAnsi="Times New Roman"/>
          <w:sz w:val="18"/>
          <w:szCs w:val="18"/>
          <w:color w:val="auto"/>
        </w:rPr>
        <w:t xml:space="preserve"> </w:t>
      </w:r>
      <w:hyperlink r:id="rId76">
        <w:r>
          <w:rPr>
            <w:rFonts w:ascii="Times New Roman" w:cs="Times New Roman" w:eastAsia="Times New Roman" w:hAnsi="Times New Roman"/>
            <w:sz w:val="18"/>
            <w:szCs w:val="18"/>
            <w:u w:val="single" w:color="auto"/>
            <w:color w:val="0000EE"/>
          </w:rPr>
          <w:t>25, 2023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7">
        <w:r>
          <w:rPr>
            <w:rFonts w:ascii="Times New Roman" w:cs="Times New Roman" w:eastAsia="Times New Roman" w:hAnsi="Times New Roman"/>
            <w:sz w:val="18"/>
            <w:szCs w:val="18"/>
            <w:u w:val="single" w:color="auto"/>
            <w:color w:val="0000EE"/>
          </w:rPr>
          <w:t>May 31, 2023</w:t>
        </w:r>
      </w:hyperlink>
      <w:hyperlink r:id="rId7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8">
        <w:r>
          <w:rPr>
            <w:rFonts w:ascii="Times New Roman" w:cs="Times New Roman" w:eastAsia="Times New Roman" w:hAnsi="Times New Roman"/>
            <w:sz w:val="18"/>
            <w:szCs w:val="18"/>
            <w:u w:val="single" w:color="auto"/>
            <w:color w:val="0000EE"/>
          </w:rPr>
          <w:t>June 2, 2023</w:t>
        </w:r>
      </w:hyperlink>
      <w:hyperlink r:id="rId7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9">
        <w:r>
          <w:rPr>
            <w:rFonts w:ascii="Times New Roman" w:cs="Times New Roman" w:eastAsia="Times New Roman" w:hAnsi="Times New Roman"/>
            <w:sz w:val="18"/>
            <w:szCs w:val="18"/>
            <w:u w:val="single" w:color="auto"/>
            <w:color w:val="0000EE"/>
          </w:rPr>
          <w:t>June 6, 2023</w:t>
        </w:r>
      </w:hyperlink>
      <w:hyperlink r:id="rId7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0">
        <w:r>
          <w:rPr>
            <w:rFonts w:ascii="Times New Roman" w:cs="Times New Roman" w:eastAsia="Times New Roman" w:hAnsi="Times New Roman"/>
            <w:sz w:val="18"/>
            <w:szCs w:val="18"/>
            <w:u w:val="single" w:color="auto"/>
            <w:color w:val="0000EE"/>
          </w:rPr>
          <w:t>June 16, 2023</w:t>
        </w:r>
      </w:hyperlink>
      <w:hyperlink r:id="rId7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1">
        <w:r>
          <w:rPr>
            <w:rFonts w:ascii="Times New Roman" w:cs="Times New Roman" w:eastAsia="Times New Roman" w:hAnsi="Times New Roman"/>
            <w:sz w:val="18"/>
            <w:szCs w:val="18"/>
            <w:u w:val="single" w:color="auto"/>
            <w:color w:val="0000EE"/>
          </w:rPr>
          <w:t>June 22, 2023</w:t>
        </w:r>
      </w:hyperlink>
      <w:hyperlink r:id="rId7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2">
        <w:r>
          <w:rPr>
            <w:rFonts w:ascii="Times New Roman" w:cs="Times New Roman" w:eastAsia="Times New Roman" w:hAnsi="Times New Roman"/>
            <w:sz w:val="18"/>
            <w:szCs w:val="18"/>
            <w:u w:val="single" w:color="auto"/>
            <w:color w:val="0000EE"/>
          </w:rPr>
          <w:t>June 29, 2023</w:t>
        </w:r>
      </w:hyperlink>
      <w:hyperlink r:id="rId7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3">
        <w:r>
          <w:rPr>
            <w:rFonts w:ascii="Times New Roman" w:cs="Times New Roman" w:eastAsia="Times New Roman" w:hAnsi="Times New Roman"/>
            <w:sz w:val="18"/>
            <w:szCs w:val="18"/>
            <w:u w:val="single" w:color="auto"/>
            <w:color w:val="0000EE"/>
          </w:rPr>
          <w:t>September 5, 2023</w:t>
        </w:r>
      </w:hyperlink>
      <w:hyperlink r:id="rId7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4">
        <w:r>
          <w:rPr>
            <w:rFonts w:ascii="Times New Roman" w:cs="Times New Roman" w:eastAsia="Times New Roman" w:hAnsi="Times New Roman"/>
            <w:sz w:val="18"/>
            <w:szCs w:val="18"/>
            <w:u w:val="single" w:color="auto"/>
            <w:color w:val="0000EE"/>
          </w:rPr>
          <w:t>October 17, 2023</w:t>
        </w:r>
      </w:hyperlink>
      <w:hyperlink r:id="rId76">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hyperlink r:id="rId85">
        <w:r>
          <w:rPr>
            <w:rFonts w:ascii="Times New Roman" w:cs="Times New Roman" w:eastAsia="Times New Roman" w:hAnsi="Times New Roman"/>
            <w:sz w:val="18"/>
            <w:szCs w:val="18"/>
            <w:u w:val="single" w:color="auto"/>
            <w:color w:val="0000EE"/>
          </w:rPr>
          <w:t>October 19,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6">
        <w:r>
          <w:rPr>
            <w:rFonts w:ascii="Times New Roman" w:cs="Times New Roman" w:eastAsia="Times New Roman" w:hAnsi="Times New Roman"/>
            <w:sz w:val="18"/>
            <w:szCs w:val="18"/>
            <w:u w:val="single" w:color="auto"/>
            <w:color w:val="0000EE"/>
          </w:rPr>
          <w:t>October 24,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7">
        <w:r>
          <w:rPr>
            <w:rFonts w:ascii="Times New Roman" w:cs="Times New Roman" w:eastAsia="Times New Roman" w:hAnsi="Times New Roman"/>
            <w:sz w:val="18"/>
            <w:szCs w:val="18"/>
            <w:u w:val="single" w:color="auto"/>
            <w:color w:val="0000EE"/>
          </w:rPr>
          <w:t>October 31,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8">
        <w:r>
          <w:rPr>
            <w:rFonts w:ascii="Times New Roman" w:cs="Times New Roman" w:eastAsia="Times New Roman" w:hAnsi="Times New Roman"/>
            <w:sz w:val="18"/>
            <w:szCs w:val="18"/>
            <w:u w:val="single" w:color="auto"/>
            <w:color w:val="0000EE"/>
          </w:rPr>
          <w:t>November 6,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9">
        <w:r>
          <w:rPr>
            <w:rFonts w:ascii="Times New Roman" w:cs="Times New Roman" w:eastAsia="Times New Roman" w:hAnsi="Times New Roman"/>
            <w:sz w:val="18"/>
            <w:szCs w:val="18"/>
            <w:u w:val="single" w:color="auto"/>
            <w:color w:val="0000EE"/>
          </w:rPr>
          <w:t xml:space="preserve">November 8, 2023, </w:t>
        </w:r>
      </w:hyperlink>
      <w:hyperlink r:id="rId90">
        <w:r>
          <w:rPr>
            <w:rFonts w:ascii="Times New Roman" w:cs="Times New Roman" w:eastAsia="Times New Roman" w:hAnsi="Times New Roman"/>
            <w:sz w:val="18"/>
            <w:szCs w:val="18"/>
            <w:u w:val="single" w:color="auto"/>
            <w:color w:val="0000EE"/>
          </w:rPr>
          <w:t>November 13,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1">
        <w:r>
          <w:rPr>
            <w:rFonts w:ascii="Times New Roman" w:cs="Times New Roman" w:eastAsia="Times New Roman" w:hAnsi="Times New Roman"/>
            <w:sz w:val="18"/>
            <w:szCs w:val="18"/>
            <w:u w:val="single" w:color="auto"/>
            <w:color w:val="0000EE"/>
          </w:rPr>
          <w:t xml:space="preserve">November 14,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92">
        <w:r>
          <w:rPr>
            <w:rFonts w:ascii="Times New Roman" w:cs="Times New Roman" w:eastAsia="Times New Roman" w:hAnsi="Times New Roman"/>
            <w:sz w:val="18"/>
            <w:szCs w:val="18"/>
            <w:u w:val="single" w:color="auto"/>
            <w:color w:val="0000EE"/>
          </w:rPr>
          <w:t>November 21, 2023</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for information contained therein which is furnished rather than filed);</w:t>
      </w:r>
    </w:p>
    <w:p>
      <w:pPr>
        <w:spacing w:after="0" w:line="179" w:lineRule="exact"/>
        <w:rPr>
          <w:rFonts w:ascii="Times New Roman" w:cs="Times New Roman" w:eastAsia="Times New Roman" w:hAnsi="Times New Roman"/>
          <w:sz w:val="18"/>
          <w:szCs w:val="18"/>
          <w:color w:val="0000EE"/>
        </w:rPr>
      </w:pPr>
    </w:p>
    <w:p>
      <w:pPr>
        <w:jc w:val="both"/>
        <w:ind w:left="980" w:hanging="324"/>
        <w:spacing w:after="0" w:line="266"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93">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with the SEC on September 19, 2023 (but only with respect to information required by Part III of our Annual Report on </w:t>
      </w:r>
      <w:hyperlink r:id="rId7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which information shall update and supersede information included in Part III of our Annual Report on Form 10-K for the fiscal year ended December 31, 2022);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after the date of this prospectus and prior to the termination of this offering.</w:t>
      </w:r>
    </w:p>
    <w:p>
      <w:pPr>
        <w:spacing w:after="0" w:line="162"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000-19871.</w:t>
      </w:r>
    </w:p>
    <w:p>
      <w:pPr>
        <w:spacing w:after="0" w:line="225" w:lineRule="exact"/>
        <w:rPr>
          <w:rFonts w:ascii="Times New Roman" w:cs="Times New Roman" w:eastAsia="Times New Roman" w:hAnsi="Times New Roman"/>
          <w:sz w:val="18"/>
          <w:szCs w:val="18"/>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62" w:lineRule="exact"/>
        <w:rPr>
          <w:rFonts w:ascii="Times New Roman" w:cs="Times New Roman" w:eastAsia="Times New Roman" w:hAnsi="Times New Roman"/>
          <w:sz w:val="18"/>
          <w:szCs w:val="18"/>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25 Recreation Park Drive, Unit 108, Hingham, MA 02043; Attention: Harel Gadot; telephone number (908) 938-5561.</w:t>
      </w:r>
    </w:p>
    <w:p>
      <w:pPr>
        <w:spacing w:after="0" w:line="180"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4,000,001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156845</wp:posOffset>
            </wp:positionV>
            <wp:extent cx="4020185" cy="1465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5">
                      <a:extLst>
                        <a:ext uri="{28A0092B-C50C-407E-A947-70E740481C1C}"/>
                      </a:extLst>
                    </a:blip>
                    <a:srcRect/>
                    <a:stretch>
                      <a:fillRect/>
                    </a:stretch>
                  </pic:blipFill>
                  <pic:spPr bwMode="auto">
                    <a:xfrm>
                      <a:off x="0" y="0"/>
                      <a:ext cx="4020185"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H.C. Wainwright &amp; Co.</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January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lvl w:ilvl="1">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45" Type="http://schemas.openxmlformats.org/officeDocument/2006/relationships/image" Target="media/image21.png"/><Relationship Id="rId46" Type="http://schemas.openxmlformats.org/officeDocument/2006/relationships/image" Target="media/image22.jpeg"/><Relationship Id="rId47" Type="http://schemas.openxmlformats.org/officeDocument/2006/relationships/image" Target="media/image23.png"/><Relationship Id="rId48" Type="http://schemas.openxmlformats.org/officeDocument/2006/relationships/image" Target="media/image24.png"/><Relationship Id="rId49" Type="http://schemas.openxmlformats.org/officeDocument/2006/relationships/image" Target="media/image25.png"/><Relationship Id="rId50" Type="http://schemas.openxmlformats.org/officeDocument/2006/relationships/image" Target="media/image26.png"/><Relationship Id="rId51" Type="http://schemas.openxmlformats.org/officeDocument/2006/relationships/image" Target="media/image27.png"/><Relationship Id="rId52" Type="http://schemas.openxmlformats.org/officeDocument/2006/relationships/image" Target="media/image28.png"/><Relationship Id="rId53" Type="http://schemas.openxmlformats.org/officeDocument/2006/relationships/image" Target="media/image29.png"/><Relationship Id="rId54"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94" Type="http://schemas.openxmlformats.org/officeDocument/2006/relationships/image" Target="media/image48.png"/><Relationship Id="rId95" Type="http://schemas.openxmlformats.org/officeDocument/2006/relationships/image" Target="media/image49.jpeg"/><Relationship Id="rId96" Type="http://schemas.openxmlformats.org/officeDocument/2006/relationships/image" Target="media/image50.png"/><Relationship Id="rId28" Type="http://schemas.openxmlformats.org/officeDocument/2006/relationships/hyperlink" Target="https://www.sec.gov/Archives/edgar/data/883975/000149315224011521/form10-k.htm" TargetMode="External"/><Relationship Id="rId29" Type="http://schemas.openxmlformats.org/officeDocument/2006/relationships/hyperlink" Target="https://www.sec.gov/Archives/edgar/data/883975/000149315224019535/form10-q.htm" TargetMode="External"/><Relationship Id="rId30" Type="http://schemas.openxmlformats.org/officeDocument/2006/relationships/hyperlink" Target="https://www.sec.gov/Archives/edgar/data/883975/000149315224032031/form10-q.htm" TargetMode="External"/><Relationship Id="rId31" Type="http://schemas.openxmlformats.org/officeDocument/2006/relationships/hyperlink" Target="https://www.sec.gov/Archives/edgar/data/883975/000149315224045136/form10-q.htm" TargetMode="External"/><Relationship Id="rId32" Type="http://schemas.openxmlformats.org/officeDocument/2006/relationships/hyperlink" Target="https://www.sec.gov/Archives/edgar/data/883975/000149315224007874/form8-k.htm" TargetMode="External"/><Relationship Id="rId33" Type="http://schemas.openxmlformats.org/officeDocument/2006/relationships/hyperlink" Target="https://www.sec.gov/Archives/edgar/data/883975/000149315224028281/form8-k.htm" TargetMode="External"/><Relationship Id="rId34" Type="http://schemas.openxmlformats.org/officeDocument/2006/relationships/hyperlink" Target="https://www.sec.gov/Archives/edgar/data/883975/000149315224029869/form8-k.htm" TargetMode="External"/><Relationship Id="rId35" Type="http://schemas.openxmlformats.org/officeDocument/2006/relationships/hyperlink" Target="https://www.sec.gov/Archives/edgar/data/883975/000149315224031474/form8-k.htm" TargetMode="External"/><Relationship Id="rId36" Type="http://schemas.openxmlformats.org/officeDocument/2006/relationships/hyperlink" Target="https://www.sec.gov/Archives/edgar/data/883975/000149315224033503/form8-k.htm" TargetMode="External"/><Relationship Id="rId37" Type="http://schemas.openxmlformats.org/officeDocument/2006/relationships/hyperlink" Target="https://www.sec.gov/Archives/edgar/data/883975/000149315224036539/form8-k.htm" TargetMode="External"/><Relationship Id="rId38" Type="http://schemas.openxmlformats.org/officeDocument/2006/relationships/hyperlink" Target="https://www.sec.gov/Archives/edgar/data/883975/000149315224038702/form8-k.htm" TargetMode="External"/><Relationship Id="rId39" Type="http://schemas.openxmlformats.org/officeDocument/2006/relationships/hyperlink" Target="https://www.sec.gov/Archives/edgar/data/883975/000149315224040913/form8-k.htm" TargetMode="External"/><Relationship Id="rId40" Type="http://schemas.openxmlformats.org/officeDocument/2006/relationships/hyperlink" Target="https://www.sec.gov/Archives/edgar/data/883975/000149315224041048/form8-k.htm" TargetMode="External"/><Relationship Id="rId41" Type="http://schemas.openxmlformats.org/officeDocument/2006/relationships/hyperlink" Target="https://www.sec.gov/Archives/edgar/data/883975/000149315224049368/form8-k.htm" TargetMode="External"/><Relationship Id="rId42" Type="http://schemas.openxmlformats.org/officeDocument/2006/relationships/hyperlink" Target="https://www.sec.gov/Archives/edgar/data/883975/000149315224050799/form8-k.htm" TargetMode="External"/><Relationship Id="rId43" Type="http://schemas.openxmlformats.org/officeDocument/2006/relationships/hyperlink" Target="https://www.sec.gov/Archives/edgar/data/883975/000149315225000366/form8-k.htm" TargetMode="External"/><Relationship Id="rId44" Type="http://schemas.openxmlformats.org/officeDocument/2006/relationships/hyperlink" Target="https://www.sec.gov/Archives/edgar/data/883975/0001047469-98-029068.txt" TargetMode="External"/><Relationship Id="rId72" Type="http://schemas.openxmlformats.org/officeDocument/2006/relationships/hyperlink" Target="https://www.sec.gov/Archives/edgar/data/883975/000149315223010223/form10-k.htm" TargetMode="External"/><Relationship Id="rId73" Type="http://schemas.openxmlformats.org/officeDocument/2006/relationships/hyperlink" Target="https://www.sec.gov/Archives/edgar/data/883975/000149315223017966/form10-q.htm" TargetMode="External"/><Relationship Id="rId74" Type="http://schemas.openxmlformats.org/officeDocument/2006/relationships/hyperlink" Target="https://www.sec.gov/Archives/edgar/data/883975/000149315223028081/form10-q.htm" TargetMode="External"/><Relationship Id="rId75" Type="http://schemas.openxmlformats.org/officeDocument/2006/relationships/hyperlink" Target="https://www.sec.gov/ix?doc=/Archives/edgar/data/883975/000149315223041069/form10-q.htm" TargetMode="External"/><Relationship Id="rId76" Type="http://schemas.openxmlformats.org/officeDocument/2006/relationships/hyperlink" Target="https://www.sec.gov/ix?doc=/Archives/edgar/data/883975/000149315223019000/form8-k.htm" TargetMode="External"/><Relationship Id="rId77" Type="http://schemas.openxmlformats.org/officeDocument/2006/relationships/hyperlink" Target="https://www.sec.gov/ix?doc=/Archives/edgar/data/883975/000149315223019537/form8-k.htm" TargetMode="External"/><Relationship Id="rId78" Type="http://schemas.openxmlformats.org/officeDocument/2006/relationships/hyperlink" Target="https://www.sec.gov/ix?doc=/Archives/edgar/data/883975/000149315223019871/form8-k.htm" TargetMode="External"/><Relationship Id="rId79" Type="http://schemas.openxmlformats.org/officeDocument/2006/relationships/hyperlink" Target="https://www.sec.gov/ix?doc=/Archives/edgar/data/883975/000149315223020309/form8-k.htm" TargetMode="External"/><Relationship Id="rId80" Type="http://schemas.openxmlformats.org/officeDocument/2006/relationships/hyperlink" Target="https://www.sec.gov/ix?doc=/Archives/edgar/data/883975/000149315223021553/form8-k.htm" TargetMode="External"/><Relationship Id="rId81" Type="http://schemas.openxmlformats.org/officeDocument/2006/relationships/hyperlink" Target="https://www.sec.gov/ix?doc=/Archives/edgar/data/883975/000149315223022078/form8-k.htm" TargetMode="External"/><Relationship Id="rId82" Type="http://schemas.openxmlformats.org/officeDocument/2006/relationships/hyperlink" Target="https://www.sec.gov/ix?doc=/Archives/edgar/data/883975/000149315223022844/form8-k.htm" TargetMode="External"/><Relationship Id="rId83" Type="http://schemas.openxmlformats.org/officeDocument/2006/relationships/hyperlink" Target="https://www.sec.gov/ix?doc=/Archives/edgar/data/883975/000149315223031689/form8-k.htm" TargetMode="External"/><Relationship Id="rId84" Type="http://schemas.openxmlformats.org/officeDocument/2006/relationships/hyperlink" Target="https://www.sec.gov/ix?doc=/Archives/edgar/data/883975/000149315223037454/form8-k.htm" TargetMode="External"/><Relationship Id="rId85" Type="http://schemas.openxmlformats.org/officeDocument/2006/relationships/hyperlink" Target="https://www.sec.gov/ix?doc=/Archives/edgar/data/883975/000149315223037676/form8-k.htm" TargetMode="External"/><Relationship Id="rId86" Type="http://schemas.openxmlformats.org/officeDocument/2006/relationships/hyperlink" Target="https://www.sec.gov/ix?doc=/Archives/edgar/data/883975/000149315223038050/form8-k.htm" TargetMode="External"/><Relationship Id="rId87" Type="http://schemas.openxmlformats.org/officeDocument/2006/relationships/hyperlink" Target="https://www.sec.gov/ix?doc=/Archives/edgar/data/883975/000149315223038792/form8-k.htm" TargetMode="External"/><Relationship Id="rId88" Type="http://schemas.openxmlformats.org/officeDocument/2006/relationships/hyperlink" Target="https://www.sec.gov/ix?doc=/Archives/edgar/data/883975/000149315223039509/form8-k.htm" TargetMode="External"/><Relationship Id="rId89" Type="http://schemas.openxmlformats.org/officeDocument/2006/relationships/hyperlink" Target="https://www.sec.gov/ix?doc=/Archives/edgar/data/883975/000149315223039834/form8-k.htm" TargetMode="External"/><Relationship Id="rId90" Type="http://schemas.openxmlformats.org/officeDocument/2006/relationships/hyperlink" Target="https://www.sec.gov/ix?doc=/Archives/edgar/data/883975/000149315223040331/form8-k.htm" TargetMode="External"/><Relationship Id="rId91" Type="http://schemas.openxmlformats.org/officeDocument/2006/relationships/hyperlink" Target="https://www.sec.gov/ix?doc=/Archives/edgar/data/883975/000149315223041009/form8-k.htm" TargetMode="External"/><Relationship Id="rId92" Type="http://schemas.openxmlformats.org/officeDocument/2006/relationships/hyperlink" Target="https://www.sec.gov/Archives/edgar/data/883975/000149315223042204/form8-k.htm" TargetMode="External"/><Relationship Id="rId93" Type="http://schemas.openxmlformats.org/officeDocument/2006/relationships/hyperlink" Target="https://www.sec.gov/Archives/edgar/data/883975/000149315223033004/form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2025-01-07T07:51:08Z</dcterms:created>
  <dcterms:modified xsi:type="dcterms:W3CDTF">2025-01-07T07:51:08Z</dcterms:modified>
</cp:coreProperties>
</file>