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July 29, 2025 through August 1, 2025, Microbot Medical Inc. (the “Company”) issued an aggregate of 4,344,286 shares of its common stock, par value $0.01 per share (the “Shares”), upon the exercise of outstanding Series G preferred investment options (the “Series G Options”), by the holders of the Series G Options. The exercise price per share of the Series G Options was $1.75, generating gross proceeds to the Company, before deducting placement agent fees and expenses, of approximately $7.6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were issued pursuant to the exemption provided in Section 4(a)(2) under the Securities Act of 1933, as amended, as transactions by an issuer not involving any public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Shares underlying the Series G Options were registered by the Company for resale on a Registration Statement on Form S-3 (Registration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333-284688) on behalf of the holders of the Series G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5, 2025, the Company issued a press release announcing that it has been approved to receive a non-dilutive grant from the Israel Innovation Authority (“IIA”) in the amount of NIS 2.15 Million, to enhance the Company’s operational capabilities.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been approved to receive a non-dilutive grant from the IIA, in the amount of NIS 2.15 Million, to enhance the Company’s operational capabilities. The terms of the grant are similar to the terms of previous grants by the IIA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Receives Non-Dilutive Grant to Enhance Operational Capabilities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Strengthens Balance Sheet and Continues Commercialization Readiness 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System as it Nears FDA Marketing Clearance Decision</w:t>
      </w:r>
    </w:p>
    <w:p>
      <w:pPr>
        <w:spacing w:after="0" w:line="1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 xml:space="preserve">HINGHAM, Mass., August 5,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it has been approved to receive a non-dilutive grant from the Israel Innovation Authority (“IIA”) in the amount of NIS 2.15 Million (approximately $630,000 at a recent exchange rate). The funding will further strengthen the Company’s manufacturing capabilities, positioning it to successfully implement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pending marketing clearance by the U.S. Food and Drug Administration (FDA).</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to recognizing the Company’s recent milestone achievements, the IIA acknowledged several other factors in its final decision, including the size and characteristics of the target market, the competitive advantages of a single-use, disposable robot, the regulatory status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and the overall benefits it is expected to deliver to the end user and healthcare system. The Company believes that the grant validates its technology and reflects the rigorous, independent due diligence conducted by the IIA.</w:t>
      </w:r>
    </w:p>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“This non-dilutive grant strengthens our balance sheet and allows us to further enhance our operational readiness plans as we await the FDA’s marketing clearance decision,” commented Rachel Vaknin, Chief Financial Officer. “The IIA has been a valued partner supporting the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with prior grants, and this latest award and timing is particularly significant as we believe it reflects high confidence in our ability to scale manufacturing and successfully meet our business objectives.”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an investigational device pending FDA 510(k) clearance, and is currently not available for sale in the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Company’s need for and ability to obtain additional working capital to continue its transition to a commercially focused company, market conditions, risks inherent in the development and/or commercialization of the LIBERTY Endovascular Robotic System, uncertainty in the results of regulatory pathways and regulatory approvals, including whether the FDA will timely grant 510(k) clearance to commercially market the LIBERTY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1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2025-08-05T07:35:08Z</dcterms:created>
  <dcterms:modified xsi:type="dcterms:W3CDTF">2025-08-05T07:35:08Z</dcterms:modified>
</cp:coreProperties>
</file>