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20, 2024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333- 280113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Harel Gadot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President and Chairman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Stephen E. Fox,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Ruskin Moscou Faltischek,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1425 RXR Plaza</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East Tower</w:t>
      </w:r>
    </w:p>
    <w:p>
      <w:pPr>
        <w:jc w:val="center"/>
        <w:spacing w:after="0"/>
        <w:rPr>
          <w:sz w:val="20"/>
          <w:szCs w:val="20"/>
          <w:color w:val="auto"/>
        </w:rPr>
      </w:pPr>
      <w:r>
        <w:rPr>
          <w:rFonts w:ascii="Times New Roman" w:cs="Times New Roman" w:eastAsia="Times New Roman" w:hAnsi="Times New Roman"/>
          <w:sz w:val="18"/>
          <w:szCs w:val="18"/>
          <w:b w:val="1"/>
          <w:bCs w:val="1"/>
          <w:color w:val="auto"/>
        </w:rPr>
        <w:t>Uniondale, NY 11556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(516) 663-6600</w:t>
      </w:r>
    </w:p>
    <w:p>
      <w:pPr>
        <w:spacing w:after="0" w:line="20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the effective date of this registration statement.</w:t>
      </w:r>
    </w:p>
    <w:p>
      <w:pPr>
        <w:spacing w:after="0" w:line="229" w:lineRule="exact"/>
        <w:rPr>
          <w:sz w:val="24"/>
          <w:szCs w:val="24"/>
          <w:color w:val="auto"/>
        </w:rPr>
      </w:pPr>
    </w:p>
    <w:p>
      <w:pPr>
        <w:jc w:val="both"/>
        <w:ind w:firstLine="33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3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3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3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95" w:orient="portrait"/>
          <w:cols w:equalWidth="0" w:num="1">
            <w:col w:w="11240"/>
          </w:cols>
          <w:pgMar w:left="320" w:top="441" w:right="339" w:bottom="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95" w:orient="portrait"/>
          <w:cols w:equalWidth="0" w:num="2">
            <w:col w:w="4900" w:space="720"/>
            <w:col w:w="5620"/>
          </w:cols>
          <w:pgMar w:left="320" w:top="441" w:right="339" w:bottom="0" w:gutter="0" w:footer="0" w:header="0"/>
          <w:type w:val="continuous"/>
        </w:sectPr>
      </w:pPr>
    </w:p>
    <w:p>
      <w:pPr>
        <w:spacing w:after="0" w:line="1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ectPr>
          <w:pgSz w:w="11900" w:h="16895" w:orient="portrait"/>
          <w:cols w:equalWidth="0" w:num="1">
            <w:col w:w="11240"/>
          </w:cols>
          <w:pgMar w:left="320" w:top="441" w:right="339" w:bottom="0" w:gutter="0" w:footer="0" w:header="0"/>
          <w:type w:val="continuous"/>
        </w:sectPr>
      </w:pPr>
    </w:p>
    <w:bookmarkStart w:id="1" w:name="page2"/>
    <w:bookmarkEnd w:id="1"/>
    <w:p>
      <w:pPr>
        <w:jc w:val="both"/>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June 20,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942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175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3,211,671 Shares of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or other disposition from time to time of up to 3,211,671 shares of our common stock, $0.01 par value per share, by the selling stockholders named in this prospectus, including their transferees, pledgees, donees or successors, that may be issued upon the exercise of outstanding preferred investment options held by the selling stockholders.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does not cover the issuance of the shares underlying the preferred investment options to the selling stockholders upon their exercise. We are not selling any shares of common stock under this prospectus and will not receive any of the proceeds from the sale of shares of common stock by the selling stockholders.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registration of the shares covered by this prospectus does not mean that the selling stockholders will actually exercise outstanding preferred investment options held by them or offer or resell any of these shares once issued to them. The selling stockholders may resell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65.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resale of shares of our common stock in this offering.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ticker symbol “MBOT.” On June 17, 2024, the last reported closing price of our common stock on the Nasdaq Capital Market was $1.04.</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“Risk Factors” beginning on page 11 of this prospectus, and under similar headings in any amendments or supplements 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820" w:type="dxa"/>
            <w:vAlign w:val="bottom"/>
          </w:tcPr>
          <w:p>
            <w:pPr>
              <w:jc w:val="right"/>
              <w:ind w:right="3730"/>
              <w:spacing w:after="0"/>
              <w:rPr>
                <w:sz w:val="20"/>
                <w:szCs w:val="20"/>
                <w:color w:val="auto"/>
              </w:rPr>
            </w:pPr>
            <w:r>
              <w:rPr>
                <w:rFonts w:ascii="Times New Roman" w:cs="Times New Roman" w:eastAsia="Times New Roman" w:hAnsi="Times New Roman"/>
                <w:sz w:val="18"/>
                <w:szCs w:val="18"/>
                <w:color w:val="auto"/>
              </w:rPr>
              <w:t>, 2024.</w:t>
            </w:r>
          </w:p>
        </w:tc>
      </w:tr>
      <w:tr>
        <w:trPr>
          <w:trHeight w:val="439"/>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3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RISK FACTOR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50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COMMON STOCK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6"/>
        </w:trPr>
        <w:tc>
          <w:tcPr>
            <w:tcW w:w="892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6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BUSINESS</w:t>
            </w:r>
          </w:p>
        </w:tc>
        <w:tc>
          <w:tcPr>
            <w:tcW w:w="97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BOARD OF DIRECTORS AND MANAGEMENT</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14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386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STOCKHOLDERS</w:t>
            </w:r>
          </w:p>
        </w:tc>
        <w:tc>
          <w:tcPr>
            <w:tcW w:w="838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7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439"/>
        </w:trPr>
        <w:tc>
          <w:tcPr>
            <w:tcW w:w="7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2180" w:type="dxa"/>
            <w:vAlign w:val="bottom"/>
            <w:tcBorders>
              <w:top w:val="single" w:sz="8" w:color="CCEEFF"/>
              <w:bottom w:val="single" w:sz="8" w:color="auto"/>
            </w:tcBorders>
          </w:tcPr>
          <w:p>
            <w:pPr>
              <w:spacing w:after="0"/>
              <w:rPr>
                <w:sz w:val="24"/>
                <w:szCs w:val="24"/>
                <w:color w:val="auto"/>
              </w:rPr>
            </w:pPr>
          </w:p>
        </w:tc>
        <w:tc>
          <w:tcPr>
            <w:tcW w:w="16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in this prospectus and any prospectus supplement that we may authorize to be provided to you. We have not, and the selling stockholders have not, authorized anyone to provide you with different information. No dealer, salesperson or other person is authorized to give any information or to represent anything not contained in this prospectus or any prospectus supplement that we may authorize to be provided to you. If anyone provides you with different or inconsistent information, you should not rely on it. You should assume that the information in this prospectus and any prospectus supplement is accurate only as of the date on the cover of the document, regardless of the time of delivery of this prospectus or any prospectus supplement or any sale of a security. Our business, financial condition, results of operations and prospects may have changed since those dates.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urge you to carefully read this prospectus and any prospectus supplement, together with the information as described under the heading “Where You Can Find More Information.”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the terms “we,” “us,” “our,” the “Company” and “Microbot” refer to Microbot Medical Inc., including our directly and indirectly wholly owned subsidiary. Unless the context otherwise requires, the historical business, financial statements and operations of Microbot include Microbot Medical Ltd., an Israeli corporation (“Microbot Israel”) which became a wholly-owned subsidiary of the Company on November 28, 2016.</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own or have rights to various U.S. federal trademark registrations and applications, and unregistered trademarks and servicemarks, including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All other trade names, trademarks and service marks appearing in this prospectus are the property of their respective owners. We have assumed that the reader understands that all such terms are source-indicating. Accordingly, such terms, when first mentioned in this prospectus, appear with the trade name, trademark or service mark notice and then throughout the remainder of this prospectus without trade name, trademark or service mark notices for convenience only and should not be construed as being used in a descriptive or generic sense.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 A more thorough discussion of these and other risks are listed under the section entitled “Risk Factors” commencing on page 11.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regarding our ability to continue as a going concern.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a limited operating history outside of being a research and development-stage company, which may make it difficult to evaluate the prospects for the Company’s future viability.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will need additional funding. If Microbot is unable to raise capital when needed, it could be forced to delay, reduce or eliminate its product development programs or commercialization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animal studies, clinical trials or procedures relating to product candidates under development could have a material adverse effect on Microbot’s prospects.</w:t>
      </w:r>
    </w:p>
    <w:p>
      <w:pPr>
        <w:spacing w:after="0" w:line="165" w:lineRule="exact"/>
        <w:rPr>
          <w:rFonts w:ascii="Times New Roman" w:cs="Times New Roman" w:eastAsia="Times New Roman" w:hAnsi="Times New Roman"/>
          <w:sz w:val="18"/>
          <w:szCs w:val="18"/>
          <w:color w:val="auto"/>
        </w:rPr>
      </w:pPr>
    </w:p>
    <w:p>
      <w:pPr>
        <w:jc w:val="both"/>
        <w:ind w:left="660" w:hanging="328"/>
        <w:spacing w:after="0" w:line="186"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Microbot’s business depends heavily on the success of its sole lead product candidate,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If Microbot is unable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experiences significant delays in doing so, Microbot’s business will be materially harmed.</w:t>
      </w:r>
    </w:p>
    <w:p>
      <w:pPr>
        <w:spacing w:after="0" w:line="201"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Microbot’s research and development efforts are uncertain and there can be no assurance of the commercial success of Microbot’s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not meet its development and commercialization objectives in a timely manner or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expand its technology platforms for other uses may be limited.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this time, Microbot does not know the extent of all of the clinical trial or data submissions that the FDA will require it to submit in support of its future marketing applications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creates uncertainty for Microbot as well as the possibility of increased product development costs and time to market.</w:t>
      </w:r>
    </w:p>
    <w:p>
      <w:pPr>
        <w:spacing w:after="0" w:line="194" w:lineRule="exact"/>
        <w:rPr>
          <w:rFonts w:ascii="Times New Roman" w:cs="Times New Roman" w:eastAsia="Times New Roman" w:hAnsi="Times New Roman"/>
          <w:sz w:val="18"/>
          <w:szCs w:val="18"/>
          <w:color w:val="auto"/>
        </w:rPr>
      </w:pPr>
    </w:p>
    <w:p>
      <w:pPr>
        <w:ind w:left="660" w:right="20" w:hanging="328"/>
        <w:spacing w:after="0" w:line="204"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Microbot’s technology acquired from CardioSert and part of its One &amp; Done</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feature is subject to a buy-back clause which was triggered, thus causing us to lose rights to the technology.</w:t>
      </w:r>
    </w:p>
    <w:p>
      <w:pPr>
        <w:spacing w:after="0" w:line="198" w:lineRule="exact"/>
        <w:rPr>
          <w:rFonts w:ascii="Times New Roman" w:cs="Times New Roman" w:eastAsia="Times New Roman" w:hAnsi="Times New Roman"/>
          <w:sz w:val="36"/>
          <w:szCs w:val="36"/>
          <w:color w:val="auto"/>
          <w:vertAlign w:val="superscript"/>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spacing w:after="0" w:line="165" w:lineRule="exact"/>
        <w:rPr>
          <w:rFonts w:ascii="Times New Roman" w:cs="Times New Roman" w:eastAsia="Times New Roman" w:hAnsi="Times New Roman"/>
          <w:sz w:val="18"/>
          <w:szCs w:val="18"/>
          <w:color w:val="auto"/>
        </w:rPr>
      </w:pPr>
    </w:p>
    <w:p>
      <w:pPr>
        <w:jc w:val="both"/>
        <w:ind w:left="660" w:hanging="328"/>
        <w:spacing w:after="0" w:line="186"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If the commercial opportunity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such other products will be adversely affected and Microbot’s business will suffer.</w:t>
      </w:r>
    </w:p>
    <w:p>
      <w:pPr>
        <w:spacing w:after="0" w:line="205" w:lineRule="exact"/>
        <w:rPr>
          <w:rFonts w:ascii="Times New Roman" w:cs="Times New Roman" w:eastAsia="Times New Roman" w:hAnsi="Times New Roman"/>
          <w:sz w:val="36"/>
          <w:szCs w:val="36"/>
          <w:color w:val="auto"/>
          <w:vertAlign w:val="superscript"/>
        </w:rPr>
      </w:pPr>
    </w:p>
    <w:p>
      <w:pPr>
        <w:ind w:left="660" w:hanging="328"/>
        <w:spacing w:after="0" w:line="18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Customers will be unlikely to buy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unless Microbot can demonstrate that they can be produced for sale to consumers at attractive prices.</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relied on, and intends to continue to rely on, third-party manufacturers to produce its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Microbot’s product candidates are not considered to be a safe and effective alternative to existing technologies, Microbot will not be commercially successful.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be subject to penalties and may be precluded from marketing its product candidates if Microbot fails to comply with extensive governmental regulations.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65"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Clinical outcome studies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may not provide sufficient data to make Microbot’s product candidates the standard of care.</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products may in the future be subject to mandatory product recalls that could harm its reputation, business and financial results.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could be exposed to significant liability claims if Microbot is unable to obtain insurance at acceptable costs and adequate levels or otherwise protect itself against potential product liability claims.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fails to retain certain of its key personnel and attract and retain additional qualified personnel, Microbot might not be able to pursue its growth strategy effectively.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29" w:lineRule="exact"/>
        <w:rPr>
          <w:sz w:val="20"/>
          <w:szCs w:val="20"/>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fails to obtain regulatory clearances in other countries for its product candidates under development, Microbot will not be able to commercialize these product candidates in those countries.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operations in international markets involve inherent risks that Microbot may not be able to control.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9"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and infringement claims could cause Microbot to incur significant expenses or prevent Microbot from selling certain of its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229" w:lineRule="exact"/>
        <w:rPr>
          <w:sz w:val="20"/>
          <w:szCs w:val="20"/>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facilities located in Israel, and therefore, political conditions in Israel may affect Microbot’s operations and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relations could limit Microbot’s ability to sell or buy internationally.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Israel’s economy may become unstable.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between the U.S. dollar and the NIS currencies may negatively affect Microbot’s operating costs.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and other benefits provided by Israeli government programs may be terminated or reduced in the future and the terms of such funding may have a significant impact on future corporate decisions.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Microbot’s employees are obligated to perform military reserve duty in Israel.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9" w:lineRule="exact"/>
        <w:rPr>
          <w:sz w:val="20"/>
          <w:szCs w:val="20"/>
          <w:color w:val="auto"/>
        </w:rPr>
      </w:pPr>
    </w:p>
    <w:p>
      <w:pPr>
        <w:ind w:left="5580" w:right="80" w:hanging="5248"/>
        <w:spacing w:after="0" w:line="532" w:lineRule="auto"/>
        <w:tabs>
          <w:tab w:leader="none" w:pos="6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upon exercise of outstanding warrants and options could cause immediate and substantial dilution to existing stockholders.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contained elsewhere in this prospectus. Because it is only a summary, it does not contain all of the information that you should consider before investing in shares of our securities and it is qualified in its entirety by, and should be read in conjunction with, the more detailed information appearing elsewhere in this prospectus. Before you decide to invest in our securities, you should read the entire prospectus carefully, including “Risk Factors” beginning on page 11, and the consolidated financial statements and related notes and the other information included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are developing the first ever fully disposable robot for various endovascular interventional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 2024, we entered into Securities Purchase Agreements with institutional investors, pursuant to which we agreed to issue and sell, in a registered direct offering priced at-the-market under the rules of The Nasdaq Stock Market, an aggregate of 1,566,669 shares of our common stock at an offering price of $1.50 per share. In a concurrent private placement, we agreed to issue to the investors Series F preferred investment options to purchase up to 3,133,338 shares of our common stock at an exercise price of $1.50 per share. Each Series F preferred investment options is exercisable immediately and will expire two years from the initial exercise date. The offerings closed on June 4, 2024, and we raised approximately $2.35 million in aggregate gross proceeds from such offerings, before deducting placement agent fees and expenses and related offering expenses.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issued at closing to the placement agent or its designees, warrants to purchase 78,333 shares of our common stock, which are exercisable immediately, expire two years from issuance, and have an exercise price of $1.875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to Proceed with Pivotal Human Clinical Trial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 2024, we announced that we have received the U.S. Food and Drug Administration’s approval to proceed with our pivotal human clinical trial as part of our Investigational Device Exemption (“IDE”) application for our LIBERTY® Endovascular Robotic Surgical System. Brigham and Women’s Hospital, Boston, Massachusetts, will participate as a clinical trial site for the pivotal human clinical trial. Brigham and Women’s Hospital has completed the Site Initiation Visit, during which its clinical staff was trained on the clinical study protocols. In addition, a shipment of LIBERTY investigational units arrived at Brigham and Women’s Hospital for the clinical trial. We are also in the process of engaging additional leading centers to participate in the trial. In parallel to commencing the pivotal human clinical trial, we are completing our biocompatibility tests as required by our IDE application.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Lawsuit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January 26, 2024 (the “Effective Date”), we entered into a Settlement Agreement and Release (the “Settlement Agreement”) with Empery Asset Master Ltd., Empery Tax Efficient, LP, Empery Tax Efficient III, LP and Hudson Bay Master Fund Ltd. (collectively, “Plaintiffs”), which resolved and settled the below referenced litigation between the Company and Plaintiffs. The Company previously announced that it was a defendant in a lawsuit captioned Empery Asset Master Ltd., Empery Tax Efficient, LP, Empery Tax Efficient II, LP, Hudson Bay Master Fund Ltd., Plaintiffs, against Microbot Medical Inc., Defendant, in the Supreme Court of the State of New York, County of New York (Index No. 651182/2020) (the “Lawsuit”), pursuant to which the Plaintiffs alleged,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sought rescission of the SPA and return of the Plaintiffs’ $6.75 million purchase price with respect to the Financing.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Settlement Agreement, the Company paid Plaintiffs an aggregate of $2,154,000 (the “Total Settlement Amount”), consisting of a cash payment covered by the Company’s insurance carrier of $1,100,000 and 1,005,965 shares of restricted Company common stock (the “Shares”), which Shares represent the whole number of restricted shares of Company common stock calculated pursuant to the following formula: $1,054,000/[closing price of Company common stock on the Effective Date * 0.825]. Additionally, the Plaintiffs and the Company each agreed to fully release the other from all claims arising out of the Financing, the SPA and/or the allegations and claims asserted in the Lawsuit, subject to customary carve-outs.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2024, the Plaintiffs filed a stipulation discontinuing the Lawsuit with prejudice.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pursuant to a Registration Rights Agreement (the “Registration Rights Agreement”), filed a registration statement on Form S-1 covering the resale of the Shares (the “Resale Registration Statement”). We shall be required to make cash payments to the Plaintiffs in the event we fail to keep the Resale Registration Statement effective pursuant to the terms of the Registration Rights Agreement, and if we fail to remove the restrictions on the Shares pursuant to the terms of the Settlement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Investment Option Inducement Transaction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the Stockholders agreed to exercise for cash their Existing Investment Options to purchase an aggregate of 1,685,682 shares</w:t>
      </w:r>
    </w:p>
    <w:p>
      <w:pPr>
        <w:sectPr>
          <w:pgSz w:w="11900" w:h="16838" w:orient="portrait"/>
          <w:cols w:equalWidth="0" w:num="1">
            <w:col w:w="11240"/>
          </w:cols>
          <w:pgMar w:left="320" w:top="684" w:right="339" w:bottom="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color w:val="auto"/>
        </w:rPr>
        <w:t>of the Company’s common stock, at a reduced exercised price of $1.62 per share, in consideration for the Company’s agreement to issue new preferred investment options (the “Inducement Investment Options”) to purchase up to an aggregate of 1,685,682 shares of the Company’s common stock at an exercise price of $1.50 per share. The closings of the transactions contemplated by the Inducement Letter occurred on January 3, 2024. The Inducement Investment Options are immediately exercisable from the date of issuance until five and one-half (5.5) years following the date of issuance. No other changes to the Existing Investment Options were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Core-Business Focus Program</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On May 15, 2023, the Board of Directors of the Company authorized, and the Company commenced, a core-business focus program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This core-business focus program</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includes the cessation of research and development activities not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including terminating the Company’s agreement with CardioSert for, and returning and ceasing the maintenance of, that technology, and returning intellectual property relating to the SCS (ViRob) and TipCat to Technion Research and Development Foundation.</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Cost Reduction Plan</w:t>
      </w:r>
    </w:p>
    <w:p>
      <w:pPr>
        <w:spacing w:after="0" w:line="22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In addition to the core-business focus program described above, the Board of Directors of the Company authorized, and the Company commenced, a cost reduction plan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and June 2023 and in January 2024, we raised sufficient capital that, together with the savings from the cost reduction plan, enabled us to continue our operations, including completion of the V&amp;V study, perform the GLP study and submit the IDE to the U.S. Food &amp; Drug Administration. We also, as of November 1, 2023, recommenced paying Rachel Vaknin, our CFO, and Simon Sharon, our CTO and General Manager, their regular salaries and benefits that were previously reduced as a result of the cost reduction plan, and as of January 1, 2024, recommenced paying Harel Gadot, our CEO, and the independent directors of our Board their regular salaries and benefits, or fees as the case may be, that were previously reduced as a result of the cost reduction plan. We continue to seek new sources of capital to stabilize our finances and provide operating runway. In the event the Company is not successful in raising additional capital, or if the results of the V&amp;V study and first-in-human trials are not promising, the Company may be forced to take more drastic actions to conserve capital or shut down operations entirely.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First-In-Human Clinical Cases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29, 2024, we submitted an Investigational Device Exemption (IDE) application with the U.S. Food and Drug Administration, in order to commence our pivotal clinical trial in humans, and on June 3, 2024, we announced that we have received the FDA’s approval to proceed with our pivotal human clinical trial. See “-Recent Developments-FDA Approval to Proceed with Pivotal Human Clinical Trial” above. See also “Business-Government Regulation-U.S. Regulation-Description of the IDE process”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platform or possibly other guidewire/microcatheter technologies.</w:t>
      </w:r>
    </w:p>
    <w:p>
      <w:pPr>
        <w:spacing w:after="0" w:line="6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 - Can be made compatible with Microbot’s NitiLoop’s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or possibly other guidewire/microcatheter technologies, that combines guidewire and microcatheter into a single device.</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both"/>
        <w:spacing w:after="0" w:line="225" w:lineRule="auto"/>
        <w:rPr>
          <w:sz w:val="20"/>
          <w:szCs w:val="20"/>
          <w:color w:val="auto"/>
        </w:rPr>
      </w:pPr>
      <w:r>
        <w:rPr>
          <w:rFonts w:ascii="Times New Roman" w:cs="Times New Roman" w:eastAsia="Times New Roman" w:hAnsi="Times New Roman"/>
          <w:sz w:val="18"/>
          <w:szCs w:val="18"/>
          <w:color w:val="auto"/>
        </w:rPr>
        <w:t>On May 3, 2023, we announced that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spacing w:after="0" w:line="190"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to 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On January 29, 2024, the Company submitted an Investigational Device Exemption (IDE) application with the U.S. Food and Drug Administration, in order to commence its pivotal clinical trial in humans, and as of the date of this prospectus, we are continuing our interaction with the FDA regarding our IDE submission process. See “-Recent Developments-FDA Approval to Proceed with Pivotal Human Clinical Trial” above. See also “-Government Regulation-U.S. Regulation-Description of the IDE process” below.</w:t>
      </w:r>
    </w:p>
    <w:p>
      <w:pPr>
        <w:spacing w:after="0" w:line="20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anticipates receiving 510(k) clearance from the US Food &amp; Drug Administration in the first half of 2025, and CE Mark approval in the second half of 2025. However, we can give no assurance that we will meet either or both of these projected milestones, if ever. See “Risk Factors–Risks Relating to the Development and Commercialization of Microbot’s Product Candidates” below.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 address is 288 Grove Street, Suite 388, Braintree, MA 02184. Microbot also has an executive office at 6 Hayozma Street, Yokneam,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of up to 3,211,671 shares of our common stock, as follows:</w:t>
      </w:r>
    </w:p>
    <w:p>
      <w:pPr>
        <w:spacing w:after="0" w:line="225" w:lineRule="exact"/>
        <w:rPr>
          <w:sz w:val="20"/>
          <w:szCs w:val="20"/>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to certain of the selling stockholders upon the exercise of outstanding series F preferred investment options expiring in June 2026, at an exercise price per share of $1.50;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to certain of the selling stockholders upon the exercise of outstanding preferred investment options expiring in June 2026, at an exercise price per share of $1.875.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4840" w:type="dxa"/>
            <w:vAlign w:val="bottom"/>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3,211,671 shares</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before the offering (1)</w:t>
            </w:r>
          </w:p>
        </w:tc>
        <w:tc>
          <w:tcPr>
            <w:tcW w:w="48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15,965,633 shares</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to be outstanding after the offering (2)</w:t>
            </w:r>
          </w:p>
        </w:tc>
        <w:tc>
          <w:tcPr>
            <w:tcW w:w="4840" w:type="dxa"/>
            <w:vAlign w:val="bottom"/>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19,177,304 shares</w:t>
            </w: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48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MBOT</w:t>
            </w:r>
          </w:p>
        </w:tc>
      </w:tr>
    </w:tbl>
    <w:p>
      <w:pPr>
        <w:spacing w:after="0" w:line="179"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number of shares outstanding as of June 17, 2024.</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all of the 3,211,671 options held by the selling stockholders, the underlying shares of which are being registered pursuant to the registration statement of which this prospectus forms a part. Does not include the exercise of any other options or warrants that may be outstanding or issuable.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3,211,671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$4.847 million in gross proceeds if all of the 3,211,671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paid dividends on our capital stock and do not anticipate paying any dividends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Please read the information contained under the heading “Risk Factors” beginning on page 11 of this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prospectus contain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prospectus or in other reports, press releases or other statements issued from time to time. Additional factors that may cause such a difference are set forth elsewhere in this prospectus. Forward-looking statements speak only as of the date of this report. We do not undertake any obligation to publicly update any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regarding our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stated elsewhere in this prospectus, we have not generated any revenues, have sustained losses and have accumulated a significant deficit since our inception. Also, we estimate that our cash resources are only sufficient to fund our operations for less than one year from the filing date of this prospectus. As a result, our continued existence is dependent upon our ability to obtain additional debt or equity financing and to ultimately become a commercially viable organization. As of March 31, 2024, the Company had unrestricted cash, cash equivalents and marketable securities of approximately $6.35 million.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need to raise additional capital to fund our operations and continue to support our planned development and commercialization activities. There can be no assurance that the additional necessary debt or equity financing will be available, or will be available on terms acceptable to us, in which case we may be unable to meet our obligations or fully implement our business plan, if at all. Additionally, should we be unable to realize our assets and discharge our liabilities in the normal course of business, the net realizable value of our assets may be materially less than the amounts recorded in our financial statements. As a result of the foregoing and our current cash position, these conditions raise substantial doubt about Microbot’s ability to continue as a going concern, which could adversely affect our ability to raise capital, expand our business and develop our planned products.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5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has incurred significant operating losses since its inception and expects to incur significant losses for the foreseeable future as Microbot continues its preclinical and clinical development programs for its existing product candidates, primarily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w:t>
      </w:r>
    </w:p>
    <w:p>
      <w:pPr>
        <w:jc w:val="both"/>
        <w:spacing w:after="0" w:line="227" w:lineRule="auto"/>
        <w:rPr>
          <w:sz w:val="20"/>
          <w:szCs w:val="20"/>
          <w:color w:val="auto"/>
        </w:rPr>
      </w:pPr>
      <w:r>
        <w:rPr>
          <w:rFonts w:ascii="Times New Roman" w:cs="Times New Roman" w:eastAsia="Times New Roman" w:hAnsi="Times New Roman"/>
          <w:sz w:val="18"/>
          <w:szCs w:val="18"/>
          <w:color w:val="auto"/>
        </w:rPr>
        <w:t>performing necessary animal and clinical testing; working towards medical device regulatory compliance; and, if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spacing w:after="0" w:line="19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Microbot is a development-stage medical device company and currently generates no revenue from product sales, and may never be 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future product candidates. Microbot does not currently have the required approvals or</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clearances to market or test in humans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has a limited operating history outside of being a research and development-stage company, which may make it difficult to evaluate the prospects for the Company’s future viability.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preparing for preclinical and clinical trials of product candidates from time to time and, most recently, commencing pre-commercialization planning for the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Microbot has not yet demonstrated its ability to successfully complete development of any product candidate, obtain marketing clearance or approval, manufacture a commercial-scale product or arrange for a third-party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will need additional funding. If Microbot is unable to raise capital when needed, it could be forced to delay, reduce or eliminate its product development programs or commercialization efforts.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Microbot has funded its operations primarily through offerings of debt and equity securities and grants.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spacing w:after="0" w:line="18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Microbot expects the research and development expenses of the Company to continue to increase substantially in future periods as it conducts preclinical studies in large animals and potentially clinical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especially if it initiates additional research programs for future product candidates. This is the case even with the recent suspension and termination of the research and development</w:t>
      </w:r>
    </w:p>
    <w:p>
      <w:pPr>
        <w:spacing w:after="0" w:line="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programs relating to the SCS device, 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other programs. In addition, if the Company obtains marketing clearance or approval for any of its product candidates, it expects to incur significant commercialization expenses related to product manufacturing, marketing and sales. Furthermore, Microbot incurs substantial costs associated with operating as a public company in the United States. Accordingly, the Company may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its research and development programs or any future commercialization efforts.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to continue to opportunistically strengthen its balance sheet by raising additional funds through equity offerings, including possibly through its existing but currently suspended At-the-Market offering, or otherwise in order to meet expected future liquidity needs, including the</w:t>
      </w:r>
    </w:p>
    <w:p>
      <w:pPr>
        <w:jc w:val="both"/>
        <w:spacing w:after="0" w:line="209" w:lineRule="auto"/>
        <w:rPr>
          <w:sz w:val="20"/>
          <w:szCs w:val="20"/>
          <w:color w:val="auto"/>
        </w:rPr>
      </w:pPr>
      <w:r>
        <w:rPr>
          <w:rFonts w:ascii="Times New Roman" w:cs="Times New Roman" w:eastAsia="Times New Roman" w:hAnsi="Times New Roman"/>
          <w:sz w:val="18"/>
          <w:szCs w:val="18"/>
          <w:color w:val="auto"/>
        </w:rPr>
        <w:t>introduction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Company’s future capital requirements, generally, will depend on many factors, including:</w:t>
      </w:r>
    </w:p>
    <w:p>
      <w:pPr>
        <w:spacing w:after="0" w:line="20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the product candidates’ regulatory reviews, subsequent approvals or clearances, or other regulatory actions;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design, duration and any potential delays of the clinical trials that could be conducted at the FDA’s request using Microbot’s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new and existing businesses, product candidates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maintain, expand and defend the scope of Microbot’s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secure or establish sales, marketing and commercial manufacturing capabilities or arrangements with third parties regarding same;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need and ability to hire additional management and scientific and medical personnel;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operate as a public company in the United States.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Unsuccessful animal studies, clinical trials or procedures relating to product candidates under development could have a material adverse effect on Microbot’s prospects.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Failure to successfully complete the studies or trials in a timely and cost-effective manner could have a material adverse effect on Microbot’s prospects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product candidates.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 design, conduct or results inadequate to demonstrate safety and effectiveness of the product candidate. The FDA may also require additional preclinical studies or clinical trials which could further delay approval of our product candidates.</w:t>
      </w:r>
    </w:p>
    <w:p>
      <w:pPr>
        <w:spacing w:after="0" w:line="199"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b w:val="1"/>
          <w:bCs w:val="1"/>
          <w:i w:val="1"/>
          <w:iCs w:val="1"/>
          <w:color w:val="auto"/>
        </w:rPr>
        <w:t>Microbot’s business depends heavily on the success of its sole lead product candidate,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If Microbot is unable to commercialize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experiences significant delays in doing so, Microbot’s business will be materially harmed.</w:t>
      </w:r>
    </w:p>
    <w:p>
      <w:pPr>
        <w:spacing w:after="0" w:line="20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Generally, after all necessary clinical and performance data supporting the safety and effectiveness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or any other product candidate, are collected, Microbot must still obtain FDA clearance or approval to market the system and those regulatory processes can take several months to several years to be completed. Therefore, Microbot’s ability to generate product revenues will not occur for at least the next few years, if at all, and will depend heavily on the successful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or any of</w:t>
      </w:r>
    </w:p>
    <w:p>
      <w:pPr>
        <w:spacing w:after="0" w:line="4"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our other product candidates from time to time. The success of commercializing any of our product candidates, include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will depend on a number of factors, including the following:</w:t>
      </w:r>
    </w:p>
    <w:p>
      <w:pPr>
        <w:spacing w:after="0" w:line="19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animal studies and human clinical trials and the collection of sufficient data to demonstrate that the device is safe and effective for its intended use;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or clearances from the FDA and other applicable regulatory authorities, which we continue to seek;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arrangements with one or more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Microbot’s rights in its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commercial sales, if and when approved, whether alone or in collaboration with other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commercially launched, by the medical community, patients and third-party payors;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existing and competitive products on the market and any new competing products that may enter the market;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quality and an acceptable safety profile of our products following clearance or approval.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spacing w:after="0" w:line="204" w:lineRule="auto"/>
        <w:rPr>
          <w:sz w:val="20"/>
          <w:szCs w:val="20"/>
          <w:color w:val="auto"/>
        </w:rPr>
      </w:pPr>
      <w:r>
        <w:rPr>
          <w:rFonts w:ascii="Times New Roman" w:cs="Times New Roman" w:eastAsia="Times New Roman" w:hAnsi="Times New Roman"/>
          <w:sz w:val="18"/>
          <w:szCs w:val="18"/>
          <w:color w:val="auto"/>
        </w:rPr>
        <w:t>We recently suspended our research and development programs for all of our product candidates and platforms other than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result of, among other things, some of the above factors, and our short and medium term success is no longer tied to multiple product candidates but rather just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If Microbot does not achieve one or more of these factors in a</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timely manner or at all, it could experience significant delays or an inability to successfully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which would materially harm its business.</w:t>
      </w:r>
    </w:p>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Microbot’s research and development efforts are uncertain and there can be no assurance of the commercial success of Microbot’s product candidates.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believes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may not meet its development and commercialization objectives in a timely manner or at 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established internal goals, based upon expectations with respect to its technologies, which Microbot has used to assess its progress toward developing its product candidates. These goals relate to technology and design improvements as well as to dates for achieving specific development results. If the product candidates exhibit technical defects or are unable to meet cost or performance goals, Microbot’s commercialization schedule could be delayed and potential purchasers of its initial commercialized products may decline to purchase such products or may opt to pursue alternative products, which would materially harm its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Microbot’s ability to expand its technology platforms for other uses may be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has decided to focus on expanding all of its technology platforms for use in segments of the endovascular, cardiovascular and neurosurgery markets. Microbot’s ability to expand its technology platforms for use in such markets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7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At this time, Microbot does not know the extent of all of the clinical trial or data submissions that the FDA will require it to submit in support of its future marketing applications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which creates uncertainty for Microbot as well as the possibility of increased product development costs and time to market.</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Microbot has identified a predicate device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it intended to use in its 510(k) application. However, there is no guarantee that the FDA will agree with the Company’s determination or that the FDA would accept the predicate device that Microbot intends to submit in its 510(k). Furthermore, even though Microbot intends to commence its human trials based on protocols agreed to with the FDA as part of its IDE submission, the FDA also may request additional data in response to a 510(k) or require Microbot to conduct further testing or compile more data in support of its 510(k). It is unclear at this time whether and how various activities initiated or announced by the FDA to modernize the U.S. medical device regulatory system could affect the marketing pathway or timeline for our product candidate, given their nature.</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FDA requires clinical data to be submitted as part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the sponsor of the investigation must also submit and obtain FDA approval of an Investigational Device Exemption, or IDE, application, which we have submitted and are continuing the submission process with the FDA while we commence the approved human trials.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jc w:val="both"/>
        <w:spacing w:after="0" w:line="225" w:lineRule="auto"/>
        <w:rPr>
          <w:sz w:val="20"/>
          <w:szCs w:val="20"/>
          <w:color w:val="auto"/>
        </w:rPr>
      </w:pPr>
      <w:r>
        <w:rPr>
          <w:rFonts w:ascii="Times New Roman" w:cs="Times New Roman" w:eastAsia="Times New Roman" w:hAnsi="Times New Roman"/>
          <w:sz w:val="18"/>
          <w:szCs w:val="18"/>
          <w:color w:val="auto"/>
        </w:rPr>
        <w:t>Thus, the addition of one or more mandatory clinical trials to the development timeline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would significantly increase the costs associated with developing and commercializing the product and delay the timing of U.S. regulatory authorization. The current uncertainty regarding near-term medical device regulatory changes by the FDA could further affect our development</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plans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depending on their nature, scope and applicability. Microbot and its business, financial condition and operating results could be materially and adversely affected as a result of any such costs, delays or uncertainty.</w:t>
      </w:r>
    </w:p>
    <w:p>
      <w:pPr>
        <w:spacing w:after="0" w:line="185"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18"/>
          <w:szCs w:val="18"/>
          <w:b w:val="1"/>
          <w:bCs w:val="1"/>
          <w:i w:val="1"/>
          <w:iCs w:val="1"/>
          <w:color w:val="auto"/>
        </w:rPr>
        <w:t>Microbot’s technology acquired from CardioSert and part of its One &amp; Done</w:t>
      </w:r>
      <w:r>
        <w:rPr>
          <w:rFonts w:ascii="Times New Roman" w:cs="Times New Roman" w:eastAsia="Times New Roman" w:hAnsi="Times New Roman"/>
          <w:sz w:val="37"/>
          <w:szCs w:val="37"/>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feature is subject to a buy-back clause which was triggered, causing us to lose rights to the technology.</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agreement with CardioSert we entered into in January 2018 to acquire its technology, we were required to meet certain commercialization deadlines or CardioSert may terminate the agreement and buy back the technology for $1.00, subject to certain limited exceptions. One of the exceptions in the agreement is if “The First Commercial Sale does not occur within 50 months of the Effective Date” of the contract. 50 months have expired in 2022 and Microbot did not meet the commercialization deadlines.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a result of our failure to meet the applicable commercialization deadline, and as a result of our May 2023 core-business focus program and cost reduction plan which resulted in our terminating the January 2018 agreement with CardioSert effective as of August 17, 2023 and ceasing development and maintenance of the technology, CardioSert exercised its right to re-acquire the technology for nominal consideration. Such sale would materially adversely</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affect our ability to develop and commercialize, or materially delay the development and commercialization of, our 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feature, as, if and when we restart that feature with our Nitiloop technology.</w:t>
      </w:r>
    </w:p>
    <w:p>
      <w:pPr>
        <w:spacing w:after="0" w:line="1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development-stage, preclinical company, Microbot has no prior experience in designing, initiating, conducting and monitoring human clinical trials. Microbot will depend upon its ability and/or the ability of future collaborators, contract research organizations, clinical trial sites and investigators to successfully design, initiate, conduct and monitor such clinical trials.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spacing w:after="0" w:line="16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Our research and development program is dependent on the availability of the component parts that we use to manufacture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packaging. Our business, therefore, could be adversely impacted by factors affecting our suppliers (such as the lack of employees due to military actions, a work stoppage or strike by our suppliers’ employees or the failure of our suppliers to provide materials of the requisite quality).</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Israel-Hamas war, we are currently experiencing delays in the supply for certain components from Israeli-based vendors. We cannot determine with any certainty as to whether these shortages will continue and if so, for how long. Consequently, our operational and development timeline could be adversely affected if we were unable to obtain these components from our suppliers in the quantities or based on the timeline we require. Although we believe in most cases that we could identify alternative suppliers, we can give no assurance that our research and development timelines will not be delayed while we identify and retain replacement suppliers. Accordingly, any material delay in delivery of any component parts or packaging could materially adversely affect our ability to obtain FDA approval and otherwise meet our expected timeframes.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spacing w:after="0" w:line="205" w:lineRule="auto"/>
        <w:rPr>
          <w:sz w:val="20"/>
          <w:szCs w:val="20"/>
          <w:color w:val="auto"/>
        </w:rPr>
      </w:pPr>
      <w:r>
        <w:rPr>
          <w:rFonts w:ascii="Times New Roman" w:cs="Times New Roman" w:eastAsia="Times New Roman" w:hAnsi="Times New Roman"/>
          <w:sz w:val="18"/>
          <w:szCs w:val="18"/>
          <w:b w:val="1"/>
          <w:bCs w:val="1"/>
          <w:i w:val="1"/>
          <w:iCs w:val="1"/>
          <w:color w:val="auto"/>
        </w:rPr>
        <w:t>If the commercial opportunity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such other products will be adversely affected and Microbot’s business will suffer.</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size of the commercial opportunities in any of Microbot’s target markets is smaller than it anticipates, Microbot may not be able to achieve profitability and growth. It is difficult to predict the penetration, future growth rate or size of the market for Microbot’s product candidate.</w:t>
      </w:r>
    </w:p>
    <w:p>
      <w:pPr>
        <w:spacing w:after="0" w:line="1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commercial success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spacing w:after="0" w:line="19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Customers will be unlikely to buy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any other product candidates unless Microbot can demonstrate that they can be produced for sale to consumers at attractive prices.</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 date, Microbot has focused primarily on research and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first generation versions of other current and former product candidates.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good manufacturing practice (GMP) 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relied on, and intends to continue to rely on, third-party manufacturers to produce its product candidates.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spacing w:after="0" w:line="180" w:lineRule="exact"/>
        <w:rPr>
          <w:sz w:val="20"/>
          <w:szCs w:val="20"/>
          <w:color w:val="auto"/>
        </w:rPr>
      </w:pPr>
    </w:p>
    <w:p>
      <w:pPr>
        <w:ind w:left="5540" w:right="1300" w:hanging="5208"/>
        <w:spacing w:after="0" w:line="563" w:lineRule="auto"/>
        <w:tabs>
          <w:tab w:leader="none" w:pos="66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internal operational problems or scheduling constraints of third parties;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regulatory non-compliance or other violations by the third-party manufacturer that could result in quality assurance;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various factors beyond Microbot’s control;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manufacturing agreements by third parties for various reasons beyond Microbot’s control, at a time that is costly or inconvenient to Microbot.</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Microbot’s product candidates are not considered to be a safe and effective alternative to existing technologies, Microbot will not be commercially successful.</w:t>
      </w:r>
    </w:p>
    <w:p>
      <w:pPr>
        <w:spacing w:after="0" w:line="16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of our product candidates from time to time rely or are expected to rely on new technologies, and Microbot’s success will depend on acceptance of these technologies by the medical community as safe, clinically effective, cost effective and a preferred device as compared to products of its competitors. Microbot does not have long-term data regarding efficacy, safety and clinical outcomes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associated with the use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increasingly price sensitive.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may be subject to penalties and may be precluded from marketing its product candidates if Microbot fails to comply with extensive governmental regulations.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Microbot’s product offerings are used across diverse healthcare settings, they will be affected to varying degrees by the different payment systems.</w:t>
      </w:r>
    </w:p>
    <w:p>
      <w:pPr>
        <w:spacing w:after="0" w:line="225"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Clinical outcome studies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may not provide sufficient data to make such product candidate the standard of care.</w:t>
      </w:r>
    </w:p>
    <w:p>
      <w:pPr>
        <w:spacing w:after="0" w:line="20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Microbot’s business plan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relies on the broad adoption by surgeons of the product for its planned applications.</w:t>
      </w:r>
    </w:p>
    <w:p>
      <w:pPr>
        <w:spacing w:after="0" w:line="20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Clinical studies may not show an advantage in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based procedures in a timely manner, or at all, and outcome studies have not been designed at this time, and may be too large and too costly for Microbot to conduct. Both situations could prevent broad adoption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materially impact Microbot’s business.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products may in the future be subject to mandatory product recalls that could harm its reputation, business and financial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spacing w:after="0" w:line="194"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detention or seizure of Microbot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510(k) clearance or premarket approval of new products or modified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other types of regulatory authorizations -that have already been granted;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to grant export approval for Microbot products;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could be exposed to significant liability claims if Microbot is unable to obtain insurance at acceptable costs and adequate levels or otherwise protect itself against potential product liability claims.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fails to retain certain of its key personnel and attract and retain additional qualified personnel, Microbot might not be able to pursue its growth strategy effectively.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is dependent on its senior management, in particular Harel Gadot, Microbot’s Chairman, President and Chief Executive Officer, and Simon Sharon, its General Manager and Chief Technology Officer. Although Microbot believes that its relationship with members of its senior management is positive, there can be no assurance that the services of any of these individuals will continue to be available to Microbot in the future. In particular, as part of our May 2023 cost reduction program, we reduced all executive officers’ salaries by between 30%-50%. Although the salaries of all executives have since been reinstated, we can give no assurance that any of our executives will remain with our company in light of such reductions.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does not carry, and does not intend to carry, any key person life insurance policies on any of its existing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fails to obtain regulatory clearances in other countries for its product candidates under development, Microbot will not be able to commercialize these product candidates in those countries.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for Microbot to market its product candidates in countries other than the United States, it must comply with the safety and quality regulations in such countries.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both"/>
        <w:spacing w:after="0" w:line="216" w:lineRule="auto"/>
        <w:rPr>
          <w:sz w:val="20"/>
          <w:szCs w:val="20"/>
          <w:color w:val="auto"/>
        </w:rPr>
      </w:pPr>
      <w:r>
        <w:rPr>
          <w:rFonts w:ascii="Times New Roman" w:cs="Times New Roman" w:eastAsia="Times New Roman" w:hAnsi="Times New Roman"/>
          <w:sz w:val="18"/>
          <w:szCs w:val="18"/>
          <w:color w:val="auto"/>
        </w:rPr>
        <w:t>Although we engaged with a leading notified body to secure a CE Mark for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it is not yet certain as to when we will secure the CE Mark, and we cannot be certain that we will be successful in complying with the requirements of the CE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Certificate of Conformity and receiving a CE Mark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product candidates or in continuing to meet the requirements of the Medical Devices Directive in the European Economic Area (EEA).</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operations in international markets involve inherent risks that Microbot may not be able to control.</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spacing w:after="0" w:line="17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macroeconomic conditions affecting geographies where Microbot intends to do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international borders, including as a result of biohazards or pandemics;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or economic instability in a specific country or region;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 certain foreign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claims on foreign patents, copyrights or trademark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across disparate geographic areas;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enforcing agreements and intellectual property rights through foreign legal systems;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other regulatory requirements, which affect Microbot’s ability to import or export its product candidates from or to various countries;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legal and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 terrorist activities, natural disasters and medical epidemics;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recruit and retain channel partners in foreign jurisdictions.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Microbot’s financial results may be affected by fluctuations in exchange rates and Microbot’s current currency hedging strategy may not be sufficient to counter such fluctuations.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infringement claims could cause Microbot to incur significant expenses or prevent Microbot from selling certain of its product candidates.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remaining TRDF</w:t>
      </w:r>
    </w:p>
    <w:p>
      <w:pPr>
        <w:jc w:val="both"/>
        <w:spacing w:after="0" w:line="236" w:lineRule="auto"/>
        <w:rPr>
          <w:sz w:val="20"/>
          <w:szCs w:val="20"/>
          <w:color w:val="auto"/>
        </w:rPr>
      </w:pPr>
      <w:r>
        <w:rPr>
          <w:rFonts w:ascii="Times New Roman" w:cs="Times New Roman" w:eastAsia="Times New Roman" w:hAnsi="Times New Roman"/>
          <w:sz w:val="18"/>
          <w:szCs w:val="18"/>
          <w:color w:val="auto"/>
        </w:rPr>
        <w:t>licensed patents that relate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technology,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the first right, but not the obligation, to control the prosecution, maintenance or enforcement of the remaining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remaining TRDF licensed patents, TRDF may elect to do so but may fail to take the steps that are necessary or desirable in order to obtain, maintain and enforce the licensed patents.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ongoing risks of operating in Israel are being exacerbated as a result of the October 7, 2023 surprise attack by hostile forces from Gaza, which led to the declaration by Israel of the “Iron Swords” military operation. These include security and economic risks, risks relating to our ability to sell or buy internationally, risk of economic instability, risk of exchange rate fluctuation negatively affecting operating costs, and the risk of employees leaving to perform military service. This military operation and related activities are on-going as of the date of this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facilities located in Israel, and therefore, political conditions in Israel may affect Microbot’s operations and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has facilities located in Israel. In addition, one of its seven directors, its General Manager and Chief Technology Officer and its Chief Financial Officer, as well as substantially all of its research and development team and non-management employees, are residents of Israel. Accordingly, political, economic and military conditions in Israel will directly or indirectly affect Microbot’s operations and results. Most recently, for example, the current political situation in Israel where the ruling parties are attempting to implement laws that essentially allow the parliament to enact laws that are preemptively immune to judicial review could adversely affect our business and results of operations. In addition,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including the current armed conflict.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relations could limit Microbot’s ability to sell or buy internationally.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Israel’s economy may become unstable.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between the U.S. dollar and the NIS currencies may negatively affect Microbot’s operating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primary expenses paid in NIS that are not linked to the U.S. dollar are employee expenses in Israel and lease payments on its Israeli facility. As Microbot does not hedge against its position in NIS, a change in the value of the NIS compared to the U.S. dollar could increase Microbot’s research and development expenses, labor costs and general and administrative expenses, and as a result, have a negative impact on Microbot’s financial condition.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Funding and other benefits provided by Israeli government programs may be terminated or reduced in the future and the terms of such funding may have a significant impact on future corporate decisions.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Microbot’s research and development efforts from inception until now have been financed in part through such Israeli Innovation Authority royalty bearing grants in an aggregate amount of approximately $1.8 million through December 31, 2023. During 2023, total grants approved from the Israeli Innovation Authority was in the amount of approximately NIS 1.6 million, to further finance the development of the Company’s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Furthermore the Company received approval for a grant from the Ministry of Economy of the State of Israel in the amount of approximately NIS 300,000, to further finance the marketing activities of the LIBERTY</w:t>
      </w:r>
      <w:r>
        <w:rPr>
          <w:rFonts w:ascii="Times New Roman" w:cs="Times New Roman" w:eastAsia="Times New Roman" w:hAnsi="Times New Roman"/>
          <w:sz w:val="29"/>
          <w:szCs w:val="29"/>
          <w:color w:val="auto"/>
          <w:strike w:val="1"/>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a result of our 2018 agreement with CardioSert and our 2022 agreement with Nitiloop, we took over the liability to repay CardioSert’s and Nitiloop’s IIA grants in the aggregate amount of approximately $530,000 and $925,000, respectively, although we expect that we will cease to have any obligations under the CardioSert grants once that technology is returned.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such grants Microbot is committed to pay royalties at a rate of between 3% to 3.5% on sales proceeds up to the total amount of grants received, linked to the dollar, plus interest at an annual rate of SOFR, a benchmark interest rate which replaced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Microbot’s employees are obligated to perform military reserve duty in Israel.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non-Israeli judgment against Microbot or its officers and directors.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Securities, Governance and Other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again meet applicable Nasdaq continued listing standards could result in a further reverse stock split or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OTC Marketplace. In such event, it could become more difficult to dispose of, or obtain accurate price quotations for, our common stock, there would likely also be a reduction in our coverage by securities analysts and the news media, which could cause the price of our common stock to decline further, and it may be more difficult to raise capital on acceptable terms or at 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cash dividends on our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we will retain our earnings, if any, for future growth and therefore do not anticipate paying cash dividends on our common stock in the future. Investors seeking cash dividends should not invest in our common stock for that purpose.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Delaware General Corporation Law, which generally prohibits stockholders owning in excess of 15% of outstanding voting stock from merging or combining with the Company unless the Company meets the requirements of such section.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the Company’s investors, restrict its operations or require it to relinquish rights to its technologies or product candidates.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Until such time, if ever, as the Company can generate substantial product revenues, it expects to finance its cash needs through a combination of equity offerings, including possibly through its existing but currently suspended At-the-Market offering,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w:t>
      </w:r>
    </w:p>
    <w:p>
      <w:pPr>
        <w:jc w:val="both"/>
        <w:spacing w:after="0" w:line="209" w:lineRule="auto"/>
        <w:rPr>
          <w:sz w:val="20"/>
          <w:szCs w:val="20"/>
          <w:color w:val="auto"/>
        </w:rPr>
      </w:pPr>
      <w:r>
        <w:rPr>
          <w:rFonts w:ascii="Times New Roman" w:cs="Times New Roman" w:eastAsia="Times New Roman" w:hAnsi="Times New Roman"/>
          <w:sz w:val="18"/>
          <w:szCs w:val="18"/>
          <w:color w:val="auto"/>
        </w:rPr>
        <w:t>changes. Microbot expects to face competition from many different sources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products that it may from time to time seek to develop or commercialize in the future.</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strategy in part relies on identifying, acquiring and developing complementary technologies and products, which entails risks which could negatively affect our business, operations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in the past and may again in the future pursue other acquisitions of businesses and technologies. Acquisitions entail numerous risks, including:</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of acquired operations, services and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synergies;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unknown material liabilities of acquired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which could reduce future reported earnings;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funding to properly and adequately develop and commercialize the technologies acquired;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clients or key employees of acquired companies;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to existing stockholders.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spacing w:after="0" w:line="255" w:lineRule="auto"/>
        <w:rPr>
          <w:sz w:val="20"/>
          <w:szCs w:val="20"/>
          <w:color w:val="auto"/>
        </w:rPr>
      </w:pPr>
      <w:r>
        <w:rPr>
          <w:rFonts w:ascii="Times New Roman" w:cs="Times New Roman" w:eastAsia="Times New Roman" w:hAnsi="Times New Roman"/>
          <w:sz w:val="18"/>
          <w:szCs w:val="18"/>
          <w:color w:val="auto"/>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Similarly, we could acquire a technology or asset, and later determine that such technology or asset no longer fits in our business strategy or goals or do not have the capital to advance its development or commercialization.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 volatile.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for our common stock may be volatile and subject to wide fluctuations in response to factors including the following:</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or operational estimates or projections;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markets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acquisitions, strategic partnerships, joint ventures or capital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United States, Israel or elsewhere.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shares upon exercise of outstanding warrants and options could cause immediate and substantial dilution to existing stockholders.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issuance of shares upon exercise of outstanding warrants and options could result in substantial dilution to the interests of other stockholders since the holders of such securities may ultimately convert and sell the full amount issuable on conversion.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3,211,671 shares of common stock issuable upon the exercise of outstanding options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$4.847 million in gross proceeds if all of the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since November 29, 2016. Prior to that, our common stock was traded under the symbol “STEM.”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17, 2024, there were approximately 97 holders of record of our common stock, and the closing price of our common stock as reported on the NASDAQ Capital Market was $1.04.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and any prospectus supplement contain certain statements that constitute “forward-looking statements” within the meaning of Section 27A of the Securities Act of 1933, as amended,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such statements,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audited and unaudited financial statements and related notes included elsewhere 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costs associated with management salaries and benefits, professional fees for accounting, auditing, consulting, legal services, and insurance expenses, net of insurance loss recoveries.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expects that its general and administrative expenses will increase over the long-term, even if a period-to-period comparison may show a decrease, as it expands its operating activities,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Significant Judgments and Estimates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Management records and discloses legal contingencies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on a recurring basis.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2024 and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three month periods ended March 31, 2024 and 2023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6"/>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4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(1,215)</w:t>
            </w:r>
          </w:p>
        </w:tc>
        <w:tc>
          <w:tcPr>
            <w:tcW w:w="38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(1,302)</w:t>
            </w:r>
          </w:p>
        </w:tc>
        <w:tc>
          <w:tcPr>
            <w:tcW w:w="3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1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The decrease in research and development expenses for the three months ended March 31, 2024 compared to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was primarily due to reduction in payroll due to an increase in vacation utilization, deduction of government grants and decrease in expenses related to the outsourcing of the manufacturing of the Company’s LIBERTY product.</w:t>
      </w:r>
    </w:p>
    <w:p>
      <w:pPr>
        <w:spacing w:after="0" w:line="17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The decrease in general and administrative expenses for the three months ended March 31, 2024 compared to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was primarily due to lower travel expenses in the first quarter of 2024 and lower payroll expenses compared to the comparable period in 2023, offset by increase in stock base compensation due to new option grants and increase in professional services.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Financing Income</w:t>
      </w:r>
      <w:r>
        <w:rPr>
          <w:rFonts w:ascii="Times New Roman" w:cs="Times New Roman" w:eastAsia="Times New Roman" w:hAnsi="Times New Roman"/>
          <w:sz w:val="18"/>
          <w:szCs w:val="18"/>
          <w:color w:val="auto"/>
        </w:rPr>
        <w:t>. The decrease in financing income, net for the three months ended March 31, 2024 compared to March 31, 2023,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exchange differences and a decrease in interest income.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years ended December 31, 2023 and 2022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780" w:type="dxa"/>
            <w:vAlign w:val="bottom"/>
            <w:gridSpan w:val="5"/>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60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0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(5,724)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(7,736)</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net</w:t>
            </w:r>
          </w:p>
        </w:tc>
        <w:tc>
          <w:tcPr>
            <w:tcW w:w="9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(4,131)</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(5,545)</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1,414</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legal settlement, net</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(1,111)</w:t>
            </w:r>
          </w:p>
        </w:tc>
      </w:tr>
    </w:tbl>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net. </w:t>
      </w:r>
      <w:r>
        <w:rPr>
          <w:rFonts w:ascii="Times New Roman" w:cs="Times New Roman" w:eastAsia="Times New Roman" w:hAnsi="Times New Roman"/>
          <w:sz w:val="18"/>
          <w:szCs w:val="18"/>
          <w:color w:val="auto"/>
        </w:rPr>
        <w:t>The decrease in research and development expenses of approximately $2.0 million in 2023 as compared to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the Company’s cost reduction plan, which commenced in the second quarter of 2023. The cost reduction plan involved cutting expenses by, among other things, implementing employee terminations, reducing management salaries, eliminating bonus accruals and pausing independent directors’ payments. The Company also reduced costs by decreasing expenses related to subcontractors, advisory board members and patents. Additionally, in comparison to the same period in 2022, the Company incurred expenses in 2022 due to the development of the SCS technology, whereas in 2023, lower expenses were recorded for that project as it was suspended in October 2022 and later terminated. In 2023, government grants were deducted from research and development expenses as the applicable costs are incurred.</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net. The decrease in general and administrative expenses of approximately $1.4 million in 2023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was primarily due to a decrease in the Company’s directors and officers insurance premiums in 2023, combined with execution of the cost reduction plan as described above. Additionally, for the year ended 2023, the Company recorded lower share-based compensation expenses compared to the comparable period in 2022, due to older options becoming fully vested. In 2023, insurance loss recoveries reduced the Company’s general and administrative expenses.</w:t>
      </w:r>
    </w:p>
    <w:p>
      <w:pPr>
        <w:spacing w:after="0" w:line="3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Income, net. </w:t>
      </w:r>
      <w:r>
        <w:rPr>
          <w:rFonts w:ascii="Times New Roman" w:cs="Times New Roman" w:eastAsia="Times New Roman" w:hAnsi="Times New Roman"/>
          <w:sz w:val="18"/>
          <w:szCs w:val="18"/>
          <w:color w:val="auto"/>
        </w:rPr>
        <w:t>Financing income for the year ended December 31, 2023 included income from interest, net, totaling $283,000 and was partially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 by exchange rate losses of $55,000, compared to 2022, which consisted of income from interest, net, totaling $54,000, combined with exchange rate gains of $64,000.</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legal settlement, net. </w:t>
      </w:r>
      <w:r>
        <w:rPr>
          <w:rFonts w:ascii="Times New Roman" w:cs="Times New Roman" w:eastAsia="Times New Roman" w:hAnsi="Times New Roman"/>
          <w:sz w:val="18"/>
          <w:szCs w:val="18"/>
          <w:color w:val="auto"/>
        </w:rPr>
        <w:t>Loss on legal settlement, net for the year ended December 31, 2023 is related to the January 2024 issuance of restricted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to settle the Lawsuit pursuant to the Settlement Agreement. See “Part I-Recent Developments-Settlement of Lawsuit.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Microbot has not generated revenues from operations. Microbot has incurred losses since inception and negative cash flows from operating activities for all periods presented. As of March 31, 2024, Microbot had a net working capital of approximately $5.8 million, consisting primarily of cash and cash equivalents and marketable securities. This compares to net working capital of approximately $4.1 million as of December 31, 2023. Microbot anticipates that it will continue to incur net losses for the foreseeable future as it continues research and development efforts of its primary product candidate and continues to incur costs associated with being a public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has funded its operations through the issuance of capital stock, grants from the Israeli Innovation Authority, and convertible debt. Since inception (November 2010) through March 31, 2024, Microbot has raised cash proceeds of approximately $69.3 million and incurred a total cumulative loss of approximately $81.9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both"/>
        <w:spacing w:after="0" w:line="257"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March 31, 2024 in the total amount of approximately $1.9 million. This amount includes amounts received in the first quarter of 2024 of approximately $74,000, which are a portion of an additional grant from the IIA in the amount of approximately NIS 1.6 million (approximately $447,000) approved by the</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On January 4, 2018, Microbot Israel entered into an agreement with CardioSert to acquire certain of its patent-protected technology, which we expect to return shortly. CardioSert received grants from the IIA in the aggregate amount of approximately $530,000 and Microbot Israel took over the liability to repay such grants, although we expect that we will cease to have any obligations under the CardioSert grants once that technology is returned.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accordingly, as we have discontinued the CardioSert program and are returning the technology to CardioSert, we do not expect to repay, or have the obligation to repay, the grants relating to that technology. The financial risk is assumed completely by the IIA.</w:t>
      </w:r>
    </w:p>
    <w:p>
      <w:pPr>
        <w:spacing w:after="0" w:line="18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On March 2, 2023, the Company announced that it received approval for a grant from the Ministry of Economy in the amount of approximately NIS 300,000, which based on an exchange rate on such date of NIS 1.00 = $0.2923, would be approximately $88,000, to further finance the marketing activities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49"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In relation to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During the second fiscal quarter of 2023, Microbot commenced a core-business focus program and a cost reduction plan while it sought to raise sufficient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May and June 2023, Microbot raised aggregate gross proceeds of approximately $7.6 million, before fees and expenses of approximately $1.1 million, from investors, to continue to fund its operations</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and research and development activities and will need additional funds to continue the FDA approval process for the LIBERTY</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Endovascular Robotic Surgical System. We also raised approximately $2.7 million in gross proceeds, before fees and expenses of approximately $333,000, from financing activities in January 2024, and approximately $2.35 million in gross proceeds, before fees and expenses of approximately $264,000 (not including legal fees and other company expenses), from financing activities in June 2024. To the extent available, Microbot intends to raise capital through future public and private issuances of debt and/or equity securities.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we have sufficient funds for our operations for less than one year. As a result of the foregoing and our current cash position, these conditions raise substantial doubt about Microbot’s ability to continue as a going concern, which could adversely affect our ability to raise capital, expand our business and develop our planned products. The accompanying consolidated financial statements do not include any adjustments to reflect the possible future effects on recoverability and reclassification of assets or the amounts and classification of liabilities that may result from the outcome of this uncertainty.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periods presented (in thousands):</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0"/>
        </w:trPr>
        <w:tc>
          <w:tcPr>
            <w:tcW w:w="7440" w:type="dxa"/>
            <w:vAlign w:val="bottom"/>
          </w:tcPr>
          <w:p>
            <w:pPr>
              <w:spacing w:after="0"/>
              <w:rPr>
                <w:sz w:val="24"/>
                <w:szCs w:val="24"/>
                <w:color w:val="auto"/>
              </w:rPr>
            </w:pPr>
          </w:p>
        </w:tc>
        <w:tc>
          <w:tcPr>
            <w:tcW w:w="3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744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14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(3,203)</w:t>
            </w:r>
          </w:p>
        </w:tc>
        <w:tc>
          <w:tcPr>
            <w:tcW w:w="10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14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(1,284)</w:t>
            </w:r>
          </w:p>
        </w:tc>
        <w:tc>
          <w:tcPr>
            <w:tcW w:w="1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80" w:type="dxa"/>
            <w:vAlign w:val="bottom"/>
          </w:tcPr>
          <w:p>
            <w:pPr>
              <w:spacing w:after="0"/>
              <w:rPr>
                <w:sz w:val="18"/>
                <w:szCs w:val="18"/>
                <w:color w:val="auto"/>
              </w:rPr>
            </w:pPr>
          </w:p>
        </w:tc>
      </w:tr>
      <w:tr>
        <w:trPr>
          <w:trHeight w:val="24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1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2,397</w:t>
            </w:r>
          </w:p>
        </w:tc>
        <w:tc>
          <w:tcPr>
            <w:tcW w:w="11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7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140" w:type="dxa"/>
            <w:vAlign w:val="bottom"/>
            <w:tcBorders>
              <w:top w:val="single" w:sz="8" w:color="auto"/>
            </w:tcBorders>
          </w:tcPr>
          <w:p>
            <w:pPr>
              <w:jc w:val="right"/>
              <w:ind w:right="97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decrease in 2024 in net cash flows from operating activities was primarily from a decrease in research and development expenses relating to the LIBERTY</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Endovascular Robotic Surgical System as a result of the Company’s May 2023 cost reduction plan and core-business focus program.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2024 in net cash flows from investing activities was mainly due to an increase in the acquisition of marketable securities.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2024 in net cash flows from financing activities was due to the Company’s raising of capital pursuant to its warrant reset offering which closed in January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periods presented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3800" w:type="dxa"/>
            <w:vAlign w:val="bottom"/>
            <w:gridSpan w:val="7"/>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6"/>
        </w:trPr>
        <w:tc>
          <w:tcPr>
            <w:tcW w:w="744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12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1,973</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(3,836)</w:t>
            </w:r>
          </w:p>
        </w:tc>
      </w:tr>
      <w:tr>
        <w:trPr>
          <w:trHeight w:val="24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1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6,558</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80" w:type="dxa"/>
            <w:vAlign w:val="bottom"/>
            <w:shd w:val="clear" w:color="auto" w:fill="CCEEFF"/>
          </w:tcPr>
          <w:p>
            <w:pPr>
              <w:spacing w:after="0"/>
              <w:rPr>
                <w:sz w:val="21"/>
                <w:szCs w:val="21"/>
                <w:color w:val="auto"/>
              </w:rPr>
            </w:pPr>
          </w:p>
        </w:tc>
      </w:tr>
      <w:tr>
        <w:trPr>
          <w:trHeight w:val="217"/>
        </w:trPr>
        <w:tc>
          <w:tcPr>
            <w:tcW w:w="7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120" w:type="dxa"/>
            <w:vAlign w:val="bottom"/>
            <w:tcBorders>
              <w:top w:val="single" w:sz="8" w:color="auto"/>
            </w:tcBorders>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2023 of cash flows used in operating activities compared to 2022 was primarily from a decrease in research and development expenses</w:t>
      </w:r>
    </w:p>
    <w:p>
      <w:pPr>
        <w:spacing w:after="0" w:line="22" w:lineRule="exact"/>
        <w:rPr>
          <w:sz w:val="20"/>
          <w:szCs w:val="20"/>
          <w:color w:val="auto"/>
        </w:rPr>
      </w:pPr>
    </w:p>
    <w:p>
      <w:pPr>
        <w:jc w:val="both"/>
        <w:spacing w:after="0" w:line="196" w:lineRule="auto"/>
        <w:rPr>
          <w:sz w:val="20"/>
          <w:szCs w:val="20"/>
          <w:color w:val="auto"/>
        </w:rPr>
      </w:pPr>
      <w:r>
        <w:rPr>
          <w:rFonts w:ascii="Times New Roman" w:cs="Times New Roman" w:eastAsia="Times New Roman" w:hAnsi="Times New Roman"/>
          <w:sz w:val="18"/>
          <w:szCs w:val="18"/>
          <w:color w:val="auto"/>
        </w:rPr>
        <w:t>relating to the LIBERTY</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Endovascular Robotic Surgical System in 2023 as a result of the Company’s May 2023 cost reduction plan and core-business focus program.</w:t>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flows from investing activities increased in 2023 compared to 2022 by approximately $5.8 million, primarily from the net purchases of marketable securities in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flows from financing activities increased in 2023 by approximately $2.2 million due to increased issuances of common stock and warrants in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cash and cash equivalents as of March 31, 2024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Inflation generally affects Microbot by increasing its research and development expenses. Microbot does not believe that inflation and changing prices had a significant impact on its results of operations for any periods presented herein, but may have a significant, adverse impact in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are developing the first ever fully disposable robot for various endovascular interventional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platform or possibly other guidewire/microcatheter technologies.</w:t>
      </w:r>
    </w:p>
    <w:p>
      <w:pPr>
        <w:spacing w:after="0" w:line="6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&amp; Done® - Can be made compatible with Microbot’s NitiLoop’s NovaCross® products or possibly other guidewire/microcatheter technologies, that combines guidewire and microcatheter into a single device.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both"/>
        <w:spacing w:after="0" w:line="225" w:lineRule="auto"/>
        <w:rPr>
          <w:sz w:val="20"/>
          <w:szCs w:val="20"/>
          <w:color w:val="auto"/>
        </w:rPr>
      </w:pPr>
      <w:r>
        <w:rPr>
          <w:rFonts w:ascii="Times New Roman" w:cs="Times New Roman" w:eastAsia="Times New Roman" w:hAnsi="Times New Roman"/>
          <w:sz w:val="18"/>
          <w:szCs w:val="18"/>
          <w:color w:val="auto"/>
        </w:rPr>
        <w:t>On May 3, 2023, we announced that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spacing w:after="0" w:line="190"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to 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On January 29, 2024, the Company submitted an Investigational Device Exemption (IDE) application with the U.S. Food and Drug Administration, in order to commence its pivotal clinical trial in humans, and as of the date of this prospectus, we are continuing our interaction with the FDA regarding our IDE submission process. See “-Recent Developments-FDA Approval to Proceed with Pivotal Human Clinical Trial” above. See also “-Government Regulation-U.S. Regulation-Description of the IDE process” below.</w:t>
      </w:r>
    </w:p>
    <w:p>
      <w:pPr>
        <w:spacing w:after="0" w:line="20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anticipates receiving 510(k) clearance from the US Food &amp; Drug Administration in the first half of 2025, and CE Mark approval in the second half of 2025. However, we can give no assurance that we will meet either or both of these projected milestones, if ever. See “Risk Factors–Risks Relating to the Development and Commercialization of Microbot’s Product Candidates” above.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37"/>
          <w:szCs w:val="37"/>
          <w:b w:val="1"/>
          <w:bCs w:val="1"/>
          <w:i w:val="1"/>
          <w:iCs w:val="1"/>
          <w:color w:val="auto"/>
          <w:vertAlign w:val="superscript"/>
        </w:rPr>
        <w:t>®</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 2024, we entered into Securities Purchase Agreements with institutional investors, pursuant to which we agreed to issue and sell, in a registered direct offering priced at-the-market under the rules of The Nasdaq Stock Market, an aggregate of 1,566,669 shares of our common stock at an offering price of $1.50 per share. In a concurrent private placement, we agreed to issue to the investors Series F preferred investment options to purchase up to 3,133,338 shares of our common stock at an exercise price of $1.50 per share. Each Series F preferred investment options is exercisable immediately and will expire two years from the initial exercise date. The offerings closed on June 4, 2024, and we raised approximately $2.35 million in aggregate gross proceeds from such offerings, before deducting placement agent fees and expenses and related offering expenses.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issued at closing to the placement agent or its designees, warrants to purchase 78,333 shares of our common stock, which are exercisable immediately, expire two years from issuance, and have an exercise price of $1.875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to Proceed with Pivotal Human Clinical Trial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 2024, we announced that we have received the U.S. Food and Drug Administration’s approval to proceed with our pivotal human clinical trial as part of our Investigational Device Exemption (“IDE”) application for our LIBERTY® Endovascular Robotic Surgical System. Brigham and Women’s Hospital, Boston, Massachusetts, will participate as a clinical trial site for the pivotal human clinical trial. Brigham and Women’s Hospital has completed the Site Initiation Visit, during which its clinical staff was trained on the clinical study protocols. In addition, a shipment of LIBERTY investigational units arrived at Brigham and Women’s Hospital for the clinical trial. We are also in the process of engaging additional leading centers to participate in the trial. In parallel to commencing the pivotal human clinical trial, we are completing our biocompatibility tests as required by our IDE application.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Lawsuit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January 26, 2024 (the “Effective Date”), we entered into a Settlement Agreement and Release (the “Settlement Agreement”) with Empery Asset Master Ltd., Empery Tax Efficient, LP, Empery Tax Efficient III, LP and Hudson Bay Master Fund Ltd. (collectively, “Plaintiffs”), which resolved and settled the below referenced litigation between the Company and Plaintiffs. The Company previously announced that it was a defendant in a lawsuit captioned Empery Asset Master Ltd., Empery Tax Efficient, LP, Empery Tax Efficient II, LP, Hudson Bay Master Fund Ltd., Plaintiffs, against Microbot Medical Inc., Defendant, in the Supreme Court of the State of New York, County of New York (Index No. 651182/2020) (the “Lawsuit”), pursuant to which the Plaintiffs alleged,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sought rescission of the SPA and return of the Plaintiffs’ $6.75 million purchase price with respect to the Financing.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Settlement Agreement, the Company paid Plaintiffs an aggregate of $2,154,000 (the “Total Settlement Amount”), consisting of a cash payment covered by the Company’s insurance carrier of $1,100,000 and 1,005,965 shares of restricted Company common stock (the “Shares”), which Shares represent the whole number of restricted shares of Company common stock calculated pursuant to the following formula: $1,054,000/[closing price of Company common stock on the Effective Date * 0.825]. Additionally, the Plaintiffs and the Company each agreed to fully release the other from all claims arising out of the Financing, the SPA and/or the allegations and claims asserted in the Lawsuit, subject to customary carve-outs.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2024, the Plaintiffs filed a stipulation discontinuing the Lawsuit with prejudice.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pursuant to a Registration Rights Agreement (the “Registration Rights Agreement”), filed a registration statement on Form S-1 covering the resale of the Shares (the “Resale Registration Statement”). We shall be required to make cash payments to the Plaintiffs in the event we fail to keep the Resale Registration Statement effective pursuant to the terms of the Registration Rights Agreement, and if we fail to remove the restrictions on the Shares pursuant to the terms of the Settlement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Investment Option Inducement Transaction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the Stockholders agreed to exercise for cash their Existing Investment Options to purchase an aggregate of 1,685,682 shares of the Company’s common stock, at a reduced exercised price of $1.62 per share, in consideration for the Company’s agreement to issue new preferred investment options (the “Inducement Investment Options”) to purchase up to an aggregate of 1,685,682 shares of the Company’s common stock at an exercise price of $1.50 per share. The closings of the transactions contemplated by the Inducement Letter occurred on January 3, 2024. The Inducement Investment Options are immediately exercisable from the date of issuance until five and one-half (5.5) years following the date of issuance. No other changes to the Existing Investment Options were made.</w:t>
      </w:r>
    </w:p>
    <w:p>
      <w:pPr>
        <w:sectPr>
          <w:pgSz w:w="11900" w:h="16838" w:orient="portrait"/>
          <w:cols w:equalWidth="0" w:num="1">
            <w:col w:w="11240"/>
          </w:cols>
          <w:pgMar w:left="320" w:top="688" w:right="339" w:bottom="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Core-Business Focus Program</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On May 15, 2023, the Board of Directors of the Company authorized, and the Company commenced, a core-business focus program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This core-business focus program</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includes the cessation of research and development activities not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including terminating the Company’s agreement with CardioSert for, and returning and ceasing the maintenance of, that technology, and returning intellectual property relating to the SCS (ViRob) and TipCat to Technion Research and Development Foundation.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Reduction Plan</w:t>
      </w:r>
    </w:p>
    <w:p>
      <w:pPr>
        <w:spacing w:after="0" w:line="22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In addition to the core-business focus program described above, the Board of Directors of the Company authorized, and the Company commenced, a cost reduction plan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jc w:val="both"/>
        <w:spacing w:after="0" w:line="254" w:lineRule="auto"/>
        <w:rPr>
          <w:sz w:val="20"/>
          <w:szCs w:val="20"/>
          <w:color w:val="auto"/>
        </w:rPr>
      </w:pPr>
      <w:r>
        <w:rPr>
          <w:rFonts w:ascii="Times New Roman" w:cs="Times New Roman" w:eastAsia="Times New Roman" w:hAnsi="Times New Roman"/>
          <w:sz w:val="18"/>
          <w:szCs w:val="18"/>
          <w:color w:val="auto"/>
        </w:rPr>
        <w:t>In May and June 2023 and in January 2024, we raised sufficient capital that, together with the savings from the cost reduction plan, enabled us to continue our operations, including completion of the V&amp;V study, perform the GLP study and submit the IDE to the U.S. Food &amp; Drug Administration. We also, as of November 1, 2023, recommenced paying Rachel Vaknin, our CFO, and Simon Sharon, our CTO and General Manager, their regular salaries and benefits that were previously reduced as a result of the cost reduction plan, and as of January 1, 2024, recommenced paying Harel Gadot, our CEO, and the independent directors of our Board their regular salaries and benefits, or fees as the case may be, that were previously reduced as a result of the cost reduction plan. We continue to seek new sources of capital to stabilize our finances and provide operating runway. In the event the Company is not successful in raising additional capital, or if the results of the V&amp;V study and first-in-human trials are not promising, the Company may be forced to take more drastic actions to conserve capital or shut down operations entirely.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First-In-Human Clinical Cases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29, 2024, we submitted an Investigational Device Exemption (IDE) application with the U.S. Food and Drug Administration, in order to commence our pivotal clinical trial in humans, and on June 3, 2024, we announced that we have received the FDA’s approval to proceed with our pivotal human clinical trial. See “-Recent Developments-FDA Approval to Proceed with Pivotal Human Clinical Trial” above. See also “-Government Regulation-U.S. Regulation-Description of the IDE process”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Minimally Invasive Robot-Assisted Endovascular Interventions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surgery is expected to grow from $24 billion in 2020 to $42 billion in 2026, representing a CAGR of 9.85%. MIS involves three major categories of devices: surgical, monitoring and visualization, and endoscopy. The market for surgical devices, including ablation, electrosurgery and medical robotic systems, accounts for the largest share of revenue and is also expected to show the highest rate of growth. According to the Society of Robotic Surgery, the U.S. market growth in endoluminal robotic surgery is projected to be 15-25% by 2025.</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Vascular disease is the most common precursor to ischemic heart disease and stroke, which are two of the leading causes of death worldwide. Advances in endovascular intervention in recent years have transformed patient survival rates and post-surgical quality of life. It is estimated that more than three million percutaneous coronary interventions (PCI) and over two million of peripheral vascular interventions are performed annually worldwide. The incidence of stroke in the U.S. alone is estimated at 900,000 cases annually. Compared to open surgery, it has the advantages of faster recovery, reduced need for general anesthesia, reduced blood loss and significantly lower mortality. However, the current practice of endovascular procedures, which virtually has remained unchanged since the introduction of Intervention four decades ago, is limited by a number of factors, including physical strain and exposure to X-Ray radiation of the operator, and involves complex maneuvering of intervention tools, such as guidewires and catheters, to reach target areas in the vasculature. Despite recent advancements in technology and devices, manual procedures are still highly dependent on the technical skills and training of the operator, what makes the access to expert medical centers and advanced emergent treatments, such as endovascular thrombectomy for acute ischemic stroke, geographically limited. In addition, we believe that demand for physicians continues to grow faster than supply.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Endovascular robotic systems are aimed to increase the stability and precision of guidewires and catheters, protecting the physicians from ionizing radiation and physical strain by removing them from the radiation source, helping in closing shortages of skilled physicians and skill gaps and enable tele-interventions (e.g. the Hub &amp; Spoke hospital model).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Today, there are only a few commercially available robotic systems for endovascular interventions. We believe these systems have major drawbacks, such as limited maneuverability, the requirement to exchange and use multiple expensive surgical tools, being cumbersome to set-up and operate, and requiring significant up-front capital expenditures.</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Microbot believes that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coupled with its own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other off-the-shelf products, it is well-positioned to deliver a value-added endovascular robotic system, with a focus on improving the ease and access and enhancing the safety of endovascular interventions.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218"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Microbot’s goal is to generate sales of its products, once they have received regulatory approval, by establishing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the standard-of-care in the eyes of medical practitioners, patients and medical facilities, as well as getting the support of payors and insurance companies. Microbot believes that it can achieve this objective by working with health care providers and systems to demonstrate the key benefits of its products. Microbot’s strategy includes the following key elements:</w:t>
      </w:r>
    </w:p>
    <w:p>
      <w:pPr>
        <w:spacing w:after="0" w:line="194" w:lineRule="exact"/>
        <w:rPr>
          <w:sz w:val="20"/>
          <w:szCs w:val="20"/>
          <w:color w:val="auto"/>
        </w:rPr>
      </w:pPr>
    </w:p>
    <w:p>
      <w:pPr>
        <w:jc w:val="both"/>
        <w:ind w:left="340" w:hanging="332"/>
        <w:spacing w:after="0" w:line="26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 to refine existing product candidates and develop additional surgical robotic solutions</w:t>
      </w:r>
      <w:r>
        <w:rPr>
          <w:rFonts w:ascii="Times New Roman" w:cs="Times New Roman" w:eastAsia="Times New Roman" w:hAnsi="Times New Roman"/>
          <w:sz w:val="18"/>
          <w:szCs w:val="18"/>
          <w:color w:val="auto"/>
        </w:rPr>
        <w:t>. As Microbot prepares to bring its initial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the support of preclinical and clinical trials, it continues gathering patients, patient and clinical data, and patient and physician feedback post-market. Microbot also expects to continue to innovate in the surgical robotics field by continuing to find ways of using its core technology to solve unmet needs, with the overarching goal of providing a safer, more effective and more efficient surgical environment for patients and physicians.</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33"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Establish and leverage relationships with key institutions and leading clinicians</w:t>
      </w:r>
      <w:r>
        <w:rPr>
          <w:rFonts w:ascii="Times New Roman" w:cs="Times New Roman" w:eastAsia="Times New Roman" w:hAnsi="Times New Roman"/>
          <w:sz w:val="18"/>
          <w:szCs w:val="18"/>
          <w:color w:val="auto"/>
        </w:rPr>
        <w:t>. Microbot’s objective will be to maintain clinical focus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hospitals and clinics so as to establish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well as possibly other future products, as the standard of care in such institutions for their respective procedures. Microbot also expects to identify Key Opinion Leaders (KOLs) with the relevant specialties (for instance interventional radiology) with the expectation that such clinical focus will accelerate the adoption of its candidate products.</w:t>
      </w:r>
    </w:p>
    <w:p>
      <w:pPr>
        <w:spacing w:after="0" w:line="193"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Continuously invest in research and development</w:t>
      </w:r>
      <w:r>
        <w:rPr>
          <w:rFonts w:ascii="Times New Roman" w:cs="Times New Roman" w:eastAsia="Times New Roman" w:hAnsi="Times New Roman"/>
          <w:sz w:val="18"/>
          <w:szCs w:val="18"/>
          <w:color w:val="auto"/>
        </w:rPr>
        <w:t>. Microbot’s most significant expense has historically been research and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Microbot expects to continue investing in research and development activities, including expenses it expects to incur to improve on its prototype products in order to respond to clinical data, to develop additional applications using its technologies and to develop future product candidates.</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Explore partnerships for the introduction of Microbot’s products</w:t>
      </w:r>
      <w:r>
        <w:rPr>
          <w:rFonts w:ascii="Times New Roman" w:cs="Times New Roman" w:eastAsia="Times New Roman" w:hAnsi="Times New Roman"/>
          <w:sz w:val="18"/>
          <w:szCs w:val="18"/>
          <w:color w:val="auto"/>
        </w:rPr>
        <w:t>. In parallel to its efforts to establish direct sales and marketing capabilities,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Microbot intends to continue its efforts on pursuing collaborations with global medical device companies that have established sales and distribution networks. Microbot will seek to enter collaborations and partnerships with strategic players that offer synergies with Microbot’s product candidates and expertise.</w:t>
      </w:r>
    </w:p>
    <w:p>
      <w:pPr>
        <w:spacing w:after="0" w:line="176" w:lineRule="exact"/>
        <w:rPr>
          <w:rFonts w:ascii="Times New Roman" w:cs="Times New Roman" w:eastAsia="Times New Roman" w:hAnsi="Times New Roman"/>
          <w:sz w:val="18"/>
          <w:szCs w:val="18"/>
          <w:color w:val="auto"/>
        </w:rPr>
      </w:pPr>
    </w:p>
    <w:p>
      <w:pPr>
        <w:jc w:val="both"/>
        <w:ind w:left="340" w:right="20" w:hanging="332"/>
        <w:spacing w:after="0" w:line="268"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Seek additional IP and technologies to complement and strengthen Microbot’s current IP portfolio</w:t>
      </w:r>
      <w:r>
        <w:rPr>
          <w:rFonts w:ascii="Times New Roman" w:cs="Times New Roman" w:eastAsia="Times New Roman" w:hAnsi="Times New Roman"/>
          <w:sz w:val="18"/>
          <w:szCs w:val="18"/>
          <w:color w:val="auto"/>
        </w:rPr>
        <w:t>. Microbot intends to continue exploring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technologies, IP and know-how to add to its current portfolio through licensing, mergers and/or acquisitions and to allow Microbot to enter new spaces and strengthen its overall product portfolio.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Competitive Landscape</w:t>
      </w:r>
    </w:p>
    <w:p>
      <w:pPr>
        <w:spacing w:after="0" w:line="1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believe the main competitor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the CorPath GRX vascular robotics system by Corindus Vascular Robotics, a Siemens Healthineers company. To our knowledge, CorPath GRX system is FDA-approved and CE-marked for percutaneous coronary and vascular procedures, is CE-marked for neurovascular interventions and is pending FDA approval for neurovascular interventions. Another competitor is Robocath (CE Marked for PCI only). We believe these systems have drawbacks, such as limited maneuverability, the requirement to exchange and use multiple expensive surgical tools, being cumbersome to set-up and operate, and requiring significant upfront capital expenditures. We also expect that we could be competing with other technologies that are in different stages of development, including preclinical and without CE/FDA approvals, such as LN Robotics and Endoways, of which additional competitive data will be required to better explore their respective positioning in the competitive landscape.</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Microbot’s existing and planned products could also be rendered obsolete or uneconomical by technological advances developed in the future by existing or new competitors. 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some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core technology is co-owned by Microbot and The Technion Research and Development</w:t>
      </w:r>
    </w:p>
    <w:p>
      <w:pPr>
        <w:jc w:val="both"/>
        <w:spacing w:after="0" w:line="217" w:lineRule="auto"/>
        <w:rPr>
          <w:sz w:val="20"/>
          <w:szCs w:val="20"/>
          <w:color w:val="auto"/>
        </w:rPr>
      </w:pPr>
      <w:r>
        <w:rPr>
          <w:rFonts w:ascii="Times New Roman" w:cs="Times New Roman" w:eastAsia="Times New Roman" w:hAnsi="Times New Roman"/>
          <w:sz w:val="18"/>
          <w:szCs w:val="18"/>
          <w:color w:val="auto"/>
        </w:rPr>
        <w:t>Foundation Ltd., or TRDF. The NovaCross</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device is based on technologies acquired by Microbot from Nitiloop Ltd. Microbot may develop other medical-robotic solutions through internal research and development, to strengthen its intellectual property position, and to continue exploring strategic collaborations and accretive acquisition opportunities. Microbot currently holds an intellectual property portfolio of 12 patents issued/allowed and 47 patent applications pending worldwide. Microbot also holds 10 design patents issued/allowed and 5 design patents pending worldwide. It also has registered</w:t>
      </w:r>
    </w:p>
    <w:p>
      <w:pPr>
        <w:spacing w:after="0" w:line="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trademarks in Israel, Europe, UK and the U.S. relating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also has trademarks relating to its proprietary Microbot Medical wordmark and logo registered in Israel, Europe, and UK, and pending in the U.S. and China, in addition to having registered trademarks for the “One &amp; Done” wordmark in Israel, Europe, the U.S., UK, and Japan. Microbot also has a registered trademark in the U.S. for the NovaCross trademark.</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relies or intends to rely on intellectual property licensed or developed, including patents, trade secrets, trademarks, technical innovations, laws of unfair competition and various licensing agreements, to provide its future growth, to build its competitive position and to protect its technology. As Microbot continues to expand its intellectual property portfolio, it is critical for Microbot to continue to invest in filing patent applications to protect its technology, inventions, and improvements.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requires its employees and consultants to execute confidentiality agreements in connection with their employment or consulting relationships with Microbot. Microbot also requires its employees and consultants who work on its product candidates to agree to disclose and assign to Microbot all inventions conceived during the term of their service, while using Microbot property, or which relate to Microbot’s business.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applications in the United States and in foreign countries are maintained in secrecy for a period of time after filing, which results in a delay between the filing date of the patent applications and the time when they are published. Patents issued and patent applications filed relating to medical devices are numerous, and there can be no assurance that current and potential competitors and other third parties have not filed or in the future will not file applications for, or have not received or in the future will not receive, patents or obtain additional proprietary rights relating to product candidates, products, devices or processes used or proposed to be used by Microbot. Microbot believes that the technologies it employs in its products and systems do not infringe the valid claims of any third-party patents. There can be no assurance, however, that third parties will not seek to assert that Microbot devices and systems infringe their patents or seek to expand their patent claims to cover aspects of Microbot’s products and systems.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medical device industry in general has been characterized by substantial litigation regarding patents and other intellectual property rights. Any such claims, regardless of their merit, could be time-consuming and expensive to respond to and could divert Microbot’s technical and management personnel. Microbot may be involved in litigation to defend against claims of infringement by other patent holders, to enforce patents issued to Microbot, or to protect Microbot’s trade secrets. If any relevant claims of third-party patents are upheld as valid and enforceable in any litigation or administrative proceeding, Microbot could be prevented from practicing the subject matter claimed in such patents, or would be required to obtain licenses from the patent owners of each such patent, or to redesign Microbot’s products, devices or processes to avoid infringement. There can be no assurance that such licenses would be available or, if available, would be available on terms acceptable to Microbot or that Microbot would be successful in any attempt to redesign products or processes to avoid infringement. Accordingly, an adverse determination in a judicial or administrative proceeding or failure to obtain necessary licenses, could potentially prevent Microbot from manufacturing and selling its products.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Microbot’s issued U.S. patents, which cover Microbot’s product candidates, will expire between 2032 and 2040, not including any patent term adjustments that may be available. Issued patents outside of the United States directed to Microbot’s product candidates will expire between 2032 and 2040.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the Technion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2012, Microbot entered into a license agreement with TRDF, the technology transfer subsidiary of The Technion Institute of Technology, pursuant to which it obtained an exclusive, worldwide, royalty-bearing, sub-licensable license to certain patents and inventions relating to the SCS and TipCAT technology platforms invented by Professor Moshe Shoham, a former director of and an advisor to the Company, and in certain circumstances other TRDF-related persons. During the second and third quarters of 2023, as a result of our core-business focus program and our cost reduction plan, we ceased research and development activities relating to the SCS and TipCat platforms. As a result, we returned intellectual property relating to the SCS (ViRob) and TipCat to TRDF.</w:t>
      </w:r>
    </w:p>
    <w:p>
      <w:pPr>
        <w:spacing w:after="0" w:line="19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was invented by employees of Microbot together with Professor Moshe Shoham of the Technion, in his capacity as a consultant to Microbot, is co-owned by Microbot and TRDF, and the parties established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“Joint Invention” in accordance with the terms of the License Agreement. Once the Joint Invention is established, Microbot will have to pay TRDF royalties of between 1.5% and 3.0% of net sales of products covered by this Joint Invention.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research and development programs are generally pursued by engineers and scientists employed by Microbot in its offices in Israel on a full-time basis or as consultants, or through partnerships with industry leaders in manufacturing and design and researchers in academia. Microbot is also working with subcontractors in developing specific components of its technologies.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objectives of Microbot’s research and development efforts are to continue to introduce incremental enhancements to the capabilities of its candidate products and to advance the development of proposed products.</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December 31, 2023 totaling approximately $1.8 million. This amount includes amounts received in 2023 of approximately $304,000, which are a portion of an additional grant from the IIA in the amount of approximately NIS 1.6 million (approximately $447,000)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a result of the agreement with CardioSert on January 4, 2018, Microbot Israel took over the liability to repay CardioSert’s IIA grants in the aggregate amount of approximately $530,000, which liability will remain for so long as the Company continues to own the CardioSert assets. As a result of CardioSert’s recent exercise to have the assets returned, we expect that this will cease to be a liability upon return.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agreement with Nitiloop, on October 6, 2022, Microbot Israel took over the liability to repay Nitiloop’s IIA grants in the aggregate amount of approximately $925,000.</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3%-5% of its future sales of the products relating to such grants.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$83,000),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As of March 31, 2024, the Company received approximately $50,000 of such amount.</w:t>
      </w:r>
    </w:p>
    <w:p>
      <w:pPr>
        <w:spacing w:after="0" w:line="22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relation with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expects to continue to access government funding in the future.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years ended December 31, 2022 and 2023, respectively, Microbot incurred research and development expenses of approximately $7,736,000 and $5,724,000.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does not have any manufacturing facilities or manufacturing personnel. Microbot currently relies, and expects to continue to rely, on third parties for the manufacturing of its product candidates for preclinical and clinical testing, as well as for commercial manufacturing if its product candidates receive marketing approval.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Microbot initiated the transfer to production by means of designing and building molds for plastic injection of parts which is a more cost-effective method for producing high quantities compared to conventional machined production of these parts. Some molds are already operative while others are being designed and built. We expect completing the molds during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4, 2023, we signed a Turn-Key Manufacturing Agreement with a subcontractor that is suited to assemble and test our products under applicable regulatory requirements and regulations. As of the date of this prospectus, we are working with the subcontractor to transfer the production to the subcontractor.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Microbot has not yet established a sales, marketing or product distribution infrastructure for the LIBERTY</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which are still in development stages. Microbot plans to access the U.S. markets with its initial device offerings through direct sales, distributors, as well as strategic partnerships. Microbot has not yet developed a commercial strategy outside of the United States, but it most likely would utilize distributors and strategic partnerships.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Microbot’s medical technology products and operations are subject to extensive regulation in the United States and other countries. Most notably, if Microbot seeks to sell its products in the United States, its products will be subject to the Federal Food, Drug, and Cosmetic Act (FDCA) as implemented and enforced by the U.S. Food and Drug Administration (FDA). The FDA regulates the development, bench and clinical testing, manufacturing, labeling, storage, record-keeping, promotion, marketing, sales, distribution and post-market support and reporting of medical devices in the United States to ensure that medical products distributed domestically are safe and effective for their intended uses. Regulatory policy affecting its products can change at any time.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both"/>
        <w:spacing w:after="0" w:line="261" w:lineRule="auto"/>
        <w:rPr>
          <w:sz w:val="20"/>
          <w:szCs w:val="20"/>
          <w:color w:val="auto"/>
        </w:rPr>
      </w:pPr>
      <w:r>
        <w:rPr>
          <w:rFonts w:ascii="Times New Roman" w:cs="Times New Roman" w:eastAsia="Times New Roman" w:hAnsi="Times New Roman"/>
          <w:sz w:val="18"/>
          <w:szCs w:val="18"/>
          <w:color w:val="auto"/>
        </w:rPr>
        <w:t>Advertising and promotion of medical devices in the United States,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countries where Microbot wishes to sell its products may require similar or more onerous approvals to manufacture or market its products. Government agencies in those countries also enforce laws and regulations that govern the development, testing, manufacturing, labeling, advertising, marketing and distribution, and market surveillance of medical device products. These regulatory requirements can change rapidly with relatively short notice.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regulations Microbot encounters in the United States and in other jurisdictions are the regulations that are common to all businesses, such as employment legislation, implied warranty laws, and environmental, health and safety standards, to the extent applicable. In the future, Microbot will also encounter industry-specific government regulations that would govern its products, if and when they are developed for commercial use.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Regulation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governs the following activities that Microbot performs, will perform, upon the clearance or approval of its product candidates, or that are performed on its behalf, to ensure that medical products distributed domestically or exported internationally are safe and effective for their intended uses:</w:t>
      </w:r>
    </w:p>
    <w:p>
      <w:pPr>
        <w:spacing w:after="0" w:line="162"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and development;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testing, labeling and storage;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procedures;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numerous FDA regulatory requirements governing the approval or clearance and subsequent commercial marketing of Microbot’s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include:</w:t>
      </w:r>
    </w:p>
    <w:p>
      <w:pPr>
        <w:spacing w:after="0" w:line="207"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submission of product listing and establishment registration information, along with associated establishment user fees;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the Quality System Regulation, or QSR, which require specification developers and manufacturers, including third-party manufacturers, to follow stringent design, testing, control, documentation and other quality assurance procedures during all aspects of the manufacturing process;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products for uncleared, unapproved or off-label use or indication;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that could significantly affect the safety or effectiveness of the device or that would constitute a major change in intended use;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(MDR), which require that manufacturers keep detailed records of investigations or complaints against their devices and to report to the FDA if their device may have caused or contributed to a death or serious injury or malfunctioned in a way that would likely cause or contribute to a death or serious injury if it were to recur;</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use of the Corrective and Preventive Actions process to identify and correct or prevent significant systemic failures of products or processes or in trends which suggest same;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restrictions or conditions, including post-approval study commitments;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regulations, which apply when necessary to protect the public health or to provide additional safety and effectiveness data for the device;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of correction or removal and recall regulations.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an exemption applies, before Microbot can commercially distribute medical devices in the United States, Microbot must obtain, depending on the classification of the device, either prior 510(k) clearance, 510(k) de-novo clearance or premarket approval (PMA), from the FDA. The FDA classifies medical devices into one of three classes based on the degree of risk associated with each medical device and the extent of regulatory controls needed to ensure the device’s safety and effectiveness:</w:t>
      </w:r>
    </w:p>
    <w:p>
      <w:pPr>
        <w:spacing w:after="0" w:line="180" w:lineRule="exact"/>
        <w:rPr>
          <w:sz w:val="20"/>
          <w:szCs w:val="20"/>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devices, which are low risk and subject to only general controls (e.g., registration and listing, medical device labeling compliance, MDRs, Quality System Regulations, and prohibitions against adulteration and misbranding) and, in some cases, to the 510(k) premarket clearance requirements;</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devices, which are moderate risk and generally require 510(k) or 510(k) de-novo premarket clearance before they may be commercially marketed in the United States as well as general controls and potentially special controls like performance standards or specific labeling requirements; and</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devices, which are devices deemed by the FDA to pose the greatest risk, such as life-sustaining, life-supporting or implantable devices, or devices deemed not substantially equivalent to a predicate device. Class III devices generally require the submission and approval of a PMA supported by clinical trial data.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color w:val="auto"/>
        </w:rPr>
        <w:t>Microbot expects the medical products in its pipeline currently to be classified as Class II. Class II devices are those for which general controls alone are insufficient to provide reasonable assurance of safety and effectiveness and there is sufficient information to establish special controls. Special controls can include performance standards, post-market surveillance, patient histories and FDA guidance documents. Premarket review and clearance by the FDA for these devices is generally accomplished through the 510(k) or 510(k) de-novo premarket notification process. As part of the 510(k) or 510(k) de-novo notification process, FDA may require the following:</w:t>
      </w:r>
    </w:p>
    <w:p>
      <w:pPr>
        <w:spacing w:after="0" w:line="183"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comprehensive product description and indications for use;</w:t>
      </w:r>
    </w:p>
    <w:p>
      <w:pPr>
        <w:spacing w:after="0" w:line="252" w:lineRule="exact"/>
        <w:rPr>
          <w:rFonts w:ascii="Times New Roman" w:cs="Times New Roman" w:eastAsia="Times New Roman" w:hAnsi="Times New Roman"/>
          <w:sz w:val="18"/>
          <w:szCs w:val="18"/>
          <w:color w:val="auto"/>
        </w:rPr>
      </w:pPr>
    </w:p>
    <w:p>
      <w:pPr>
        <w:ind w:left="340" w:right="28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review of predicate devices and development of data supporting the new product’s substantial equivalence to one or more predicate devices; and</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and required, certain types of clinical trials (IDE submission and approval may be required for conducting a clinical trial in the U.S.).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Clinical trials involve use of the medical device on human subjects under the supervision of qualified investigators in accordance with current Good Clinical Practices (GCPs), including the requirement that all research subjects provide informed consent for their participation in the clinical study. A written protocol with predefined end points, an appropriate sample size and pre-determined patient inclusion and exclusion criteria, is required before initiating and conducting a clinical trial. All clinical investigations of devices to determine safety and effectiveness must be conducted in accordance with the FDA’s Investigational device Exemption, or IDE, regulations that among other things,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which must become effective prior to commencing human clinical trials.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Description of the IDE process. </w:t>
      </w:r>
      <w:r>
        <w:rPr>
          <w:rFonts w:ascii="Times New Roman" w:cs="Times New Roman" w:eastAsia="Times New Roman" w:hAnsi="Times New Roman"/>
          <w:sz w:val="18"/>
          <w:szCs w:val="18"/>
          <w:color w:val="auto"/>
        </w:rPr>
        <w:t>The IDE will become effective 30 days after receipt by the FDA, unless the FDA otherwise informs the sponsor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30-day period that the IDE is approved, approved with conditions, or disapproved. If the FDA determines that additional information is required, the FDA may permit a clinical trial to proceed under a conditional approval. In case of disapproval, the Company can continue its existing IDE process interaction with the FDA, and supply FDA with additional information to obtain approval or conditional approval. In addition, the study must be approved by, and conducted under the oversight of, an Institutional Review Board (IRB) for each clinical site. If the device presents a non-significant risk to the patient, a sponsor may begin the clinical trial after obtaining approval for the trial by one or more IRBs without separate approval from the FDA, but it must still follow abbreviated IDE requirements, such as monitoring the investigation, ensuring that the investigators obtain informed consent, and labeling and record-keeping requirements. See “-Recent Developments-FDA Approval to Proceed with Pivotal Human Clinical Trial”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510(k) clearance typically involves the following:</w:t>
      </w:r>
    </w:p>
    <w:p>
      <w:pPr>
        <w:spacing w:after="0" w:line="225" w:lineRule="exact"/>
        <w:rPr>
          <w:sz w:val="20"/>
          <w:szCs w:val="20"/>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successful completion of all required testing, a detailed 510(k) premarket notification or 510(k) de-novo is submitted to the FDA requesting clearance to market the product. The notification includes all relevant data from pertinent preclinical and clinical trials, together with detailed information relating to the product’s manufacturing controls and proposed labeling, and other relevant documentation.</w:t>
      </w:r>
    </w:p>
    <w:p>
      <w:pPr>
        <w:spacing w:after="0" w:line="20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510(k) clearance letter from the FDA will authorize commercial marketing of the device for one or more specific indications for use.</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510(k) clearance, Microbot will be required to comply with a number of post-clearance requirements, including, but not limited to, Medical Device Reporting and complaint handling, and, if applicable, reporting of corrective actions. Also, quality control and manufacturing procedures must continue to conform to QSRs. The FDA periodically inspects manufacturing facilities to assess compliance with QSRs, which impose extensive procedural, substantive, and record keeping requirements on medical device manufacturers. In addition, changes to the manufacturing process are strictly regulated, and, depending on the change, validation activities may need to be performed. Accordingly, manufacturers must continue to expend time, money and effort in the area of production and quality control to maintain compliance with QSRs and other types of regulatory controls.</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device receives 510(k) clearance from the FDA, any modification that could significantly affect its safety or effectiveness, or that would constitute a major change in its intended use or technological characteristics, requires a new 510(k) clearance or could require a PMA. The FDA requires each manufacturer to make the determination of whether a modification requires a new 510(k) notification or PMA in the first instance, but the FDA can review any such decision. If the FDA disagrees with a manufacturer’s decision not to seek a new 510(k) clearance or PMA for a particular change, the FDA may retroactively require the manufacturer to seek 510(k) clearance or PMA. The FDA can also require the manufacturer to cease U.S. marketing and/or recall the modified device until additional 510(k) clearance or PMA approval is obtained.</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the Federal Trade Commission, or FTC, will also regulate the advertising claims of Microbot’s products to ensure that the claims Microbot makes are consistent with its regulatory clearances, that there is scientific data to substantiate the claims and that product advertising is neither false nor misleading.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obtain 510(k) clearance, Microbot must submit a notification to the FDA demonstrating that its proposed device is substantially equivalent to a predicate device (i.e., a device that was in commercial distribution before May 28, 1976, a device that has been reclassified from Class III to Class I or Class II, or a 510(k)-cleared device). The FDA’s 510(k) clearance process generally takes from three to 12 months from the date the application is submitted but also can take significantly longer. If the FDA determines that the device or its intended use is not substantially equivalent to a predicate device, the device is automatically placed into Class III, requiring the submission of a PMA.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guarantee that the FDA will grant Microbot 510(k) clearance for its pipeline medical device products, and failure to obtain the necessary clearances for its products would adversely affect Microbot’s ability to grow its business. Delays in receipt or failure to receive the necessary clearances, or the failure to comply with existing or future regulatory requirements, could reduce its business prospects.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744" w:gutter="0" w:footer="0" w:header="0"/>
        </w:sectPr>
      </w:pPr>
    </w:p>
    <w:bookmarkStart w:id="53" w:name="page54"/>
    <w:bookmarkEnd w:id="53"/>
    <w:p>
      <w:pPr>
        <w:jc w:val="both"/>
        <w:spacing w:after="0" w:line="254" w:lineRule="auto"/>
        <w:rPr>
          <w:sz w:val="20"/>
          <w:szCs w:val="20"/>
          <w:color w:val="auto"/>
        </w:rPr>
      </w:pPr>
      <w:r>
        <w:rPr>
          <w:rFonts w:ascii="Times New Roman" w:cs="Times New Roman" w:eastAsia="Times New Roman" w:hAnsi="Times New Roman"/>
          <w:sz w:val="18"/>
          <w:szCs w:val="18"/>
          <w:color w:val="auto"/>
        </w:rPr>
        <w:t>Devices that cannot be cleared through the 510(k) process due to lack of a predicate device but would be considered low or moderate risk may be eligible for the 510(k) de-novo process. In 1997, the Food and Drug Administration Modernization Act, or FDAMA added the de novo classification pathway now codified in section 513(f)(2) of the FD&amp;C Act. This law established an alternate pathway to classify new devices into Class I or II that had automatically been placed in Class III after receiving a Not Substantially Equivalent, or NSE, determination in response to a 510(k) submission. Through this regulatory process, a sponsor who receives an NSE determination may, within 30 days of receipt, request FDA to make a risk-based classification of the device through what is called a “de novo request.” In 2012, section 513(f)(2) of the FD&amp;C Act was amended by section 607 of the Food and Drug Administration Safety and Innovation Act (FDASIA), in order to provide a second option for de novo classification. Under this second pathway, a sponsor who determines that there is no legally marketed device upon which to base a determination of substantial equivalence can submit a de novo request to FDA without first submitting a 510(k).</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Microbot receives a Not Substantially Equivalent determination for either of its device candidates in response to a 510(k) submission, the Microbot device may still be eligible for the 510(k) de-novo classification process.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Devices that cannot be cleared through the 510(k) or 510(k) de-novo classification process require the submission of a PMA. The PMA process is much more time consuming and demanding than the 510(k) notification process. A PMA must be supported by extensive data, including but not limited to data obtained from preclinical and/or clinical studies and data relating to manufacturing and labeling, to demonstrate to the FDA’s satisfaction the safety and effectiveness of the device. After a PMA application is submitted, the FDA’s in-depth review of the information generally takes between one and three years and may take significantly longer. If the FDA does not grant 510(k) clearance to its products, there is no guarantee that Microbot will submit a PMA or that if Microbot does, that the FDA would grant a PMA approval of Microbot’s products, either of which would adversely affect Microbot’s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Regulation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regulations in the United States, Microbot will be subject to a variety of foreign regulations governing clinical trials, marketing authorization and commercial sales and distribution of its products in foreign countries. The approval process varies from country to country, and the time may be longer or shorter than that required for FDA approval or clearance. The requirements governing the conduct of clinical trials, product licensing, pricing and reimbursement vary greatly from country to country.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International sales of medical devices are subject to foreign governmental regulations which vary substantially from country to country. Whether or not Microbot obtains FDA approval or clearance for its products, Microbot will be required to make new regulatory submissions to the comparable regulatory authorities of foreign countries before Microbot can commence clinical trials or marketing of the product in such countries. The time required to obtain certification or approval by a foreign country may be longer or shorter than that required for FDA clearance or approval, and the requirements may differ. Below are summaries of the regulatory systems for medical devices in Europe and Israel, where Microbot currently anticipates marketing its products. However, its products may also be marketed in other countries that have different systems or minimal requirements for medical devices.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Europe</w:t>
      </w:r>
      <w:r>
        <w:rPr>
          <w:rFonts w:ascii="Times New Roman" w:cs="Times New Roman" w:eastAsia="Times New Roman" w:hAnsi="Times New Roman"/>
          <w:sz w:val="18"/>
          <w:szCs w:val="18"/>
          <w:color w:val="auto"/>
        </w:rPr>
        <w:t>. The primary regulatory body in Europe is the European Union, or E.U., which consists of 27 member states and has a coordinated system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 of medical devices.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E.U. has adopted legislation, in the form of directives to be implemented in each member state, concerning the regulation of medical devices within the European Union. The directives include, among others, the Medical Device Regulation, or MDR, that establishes certain requirements with which medical devices must comply before they can be commercialized in the European Economic Area, or EEA (which comprises the member states of the E.U. plus Norway, Liechtenstein and Iceland). Under the MDR, medical devices are classified into four Classes, I, IIa, IIb, and III, with Class I being the lowest risk and Class III being the highest risk.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commercialize medical devices in the European Union, a CE Mark certificate is needed. This certification verifies that a device meets all regulatory requirements for medical devices under the new Medical Devices Regulation (MDR 2017/745). The CE approval process in Europe is summarized below:</w:t>
      </w:r>
    </w:p>
    <w:p>
      <w:pPr>
        <w:spacing w:after="0" w:line="176" w:lineRule="exact"/>
        <w:rPr>
          <w:sz w:val="20"/>
          <w:szCs w:val="20"/>
          <w:color w:val="auto"/>
        </w:rPr>
      </w:pPr>
    </w:p>
    <w:p>
      <w:pPr>
        <w:ind w:firstLine="656"/>
        <w:spacing w:after="0" w:line="282" w:lineRule="auto"/>
        <w:tabs>
          <w:tab w:leader="none" w:pos="8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CE Marking certification, comply with European Commission Regulation (EU) No. 2017/745, commonly known as the Medical Device Regulation (MDR).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2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 Person Responsible for Regulatory Compliance (PRRC). Determine classification of device - Class I (self-certified); Class I (sterile, measuring or reusable surgical instrument); Class IIa, Class IIb, or Class III.</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implement a Quality Management System (QMS) in accordance with the MDR. Companies usually apply the EN ISO 13485 standard to achieve compliance. The QMS must include Clinical Evaluation, Post-Market Surveillance (PMS) and Post Market Clinical Follow-up (PMCF) plans. Make arrangements with suppliers about unannounced Notified Body audits. For Class I (self-certified), implement a QMS though Notified Body intervention is not required.</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3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CE Technical Documentation or Design Dossier (Class III) providing information about the device and its intended use plus testing reports, Clinical Evaluation Report (CER), risk management file, Instruction For Use (IFU), labeling and more. Obtain a Unique Device Identifier (UDI) for the device. All devices, even legacy products in use for decades, will require clinical data. Most of these data should refer to the subject device. Clinical studies are generally required for implantable and Class III devices. Existing clinical data may be acceptable. Clinical trials in Europe must be pre-approved by a European Competent Authority.</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8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does not have a location in Europe, appoint an Authorized Representative (EC REP) located in the EU who is qualified to handle regulatory issues. Place the EC REP name and address on device label. Obtain a Single Registration Number from the regulators.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except Class I (self-certified), the QMS and Technical Documentation or Design Dossier must be audited by a Notified Body, a third-party accredited by European authorities to audit medical device companies and products.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except Class I (self-certified), the company will be issued a European CE Marking Certificate for the device and an ISO 13485 certificate for the company’s facility following successful completion of the Notified Body audit. ISO 13485 certification must be renewed every year. CE Marking certificates are typically valid for a maximum of 5 years, but are typically reviewed during the annual surveillance audit.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Declaration of Conformity, a legally binding document prepared by the manufacturer stating that the device is in compliance with the applicable European requirements. At this time, the CE Marking may be affixed.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6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device and its Unique Device Identifier (UDI) in the EUDAMED database. UDI must be on label and associated with the regulatory documents.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Class I (self-certified), annual NB audits are not required. However, CER, Technical File, and PMS activities must be kept updated. For all other classes, the company will be audited each year by a Notified Body to ensure ongoing compliance with the MDR. Failure to pass the audit will invalidate the CE Marking certificate. The company must perform Clinical Evaluation, PMS, and PMCF.</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intends to apply for the CE Mark for each of its medical device products. There is no guarantee that Microbot will be granted a CE Mark for all or any of its pipeline products and failure to obtain the CE Mark would adversely affect its ability to grow its business.</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Israel</w:t>
      </w:r>
      <w:r>
        <w:rPr>
          <w:rFonts w:ascii="Times New Roman" w:cs="Times New Roman" w:eastAsia="Times New Roman" w:hAnsi="Times New Roman"/>
          <w:sz w:val="18"/>
          <w:szCs w:val="18"/>
          <w:color w:val="auto"/>
        </w:rPr>
        <w:t>. Israel’s Medical Devices Law generally requires the registration of all medical products with the Ministry of Health, or MOH, Registrar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precondition for production and distribution in Israel. Special exemptions may apply under limited circumstances and for purposes such as the provision of essential medical treatment, research and development of the medical device, and personal use, among others.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Registration of medical devices requires the submission of an application to the Ministry of Health Medical Institutions and Devices Licensing Department, or AMAR. An application for the registration of a medical device includes the following:</w:t>
      </w:r>
    </w:p>
    <w:p>
      <w:pPr>
        <w:spacing w:after="0" w:line="162"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the manufacturer, and of the importer as applicable;</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intended use of the medical device and of its medical indications;</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details of the medical device and of its components, and in the event that the device or the components are not new, information should be provided on the date or renovation;</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attesting to the safety of the device, issued by a competent authority of one of the following countries: Australia, Canada, European Community (EC), Member States (MSs), Israel, Japan, or the United States;</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any risk which may be associated with the use of the device (including precautionary measures to be taken);</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for use of the device in Hebrew; the MOH may allow the instructions to be in English for certain devices;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the standards to which the device complies;</w:t>
      </w:r>
    </w:p>
    <w:p>
      <w:pPr>
        <w:sectPr>
          <w:pgSz w:w="11900" w:h="16838" w:orient="portrait"/>
          <w:cols w:equalWidth="0" w:num="1">
            <w:col w:w="11240"/>
          </w:cols>
          <w:pgMar w:left="320" w:top="688" w:right="339" w:bottom="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6" w:name="page57"/>
    <w:bookmarkEnd w:id="56"/>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technical and maintenance services, including periodic checks and inspections;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as appropriate: of the local manufacturer/importer, and of the foreign manufacturer.</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application includes a certificate issued by a competent authority of one of the following “recognized” countries: Australia, Canada, European Community (CE) Member States (MSs), Japan, or the United States, the registration process is generally expedited, but could still take 6-9 months for approval. If such certificate is not available, the registration process will take significantly longer and a license is rarely issued. Furthermore, the MOH will determine what type of testing is needed. In general, in the case of Israeli manufactured devices that are not registered or authorized in any “recognized” country, the application requires presentation of a risk analysis, a clinical evaluation, a summary of the clinical trials, and expert opinions regarding the device’s safety and effectiveness. Additional requirements may apply during the registration period, including follow-up reviews, to improve the quality and safety of the devices.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regulations issued by Israel’s Minister of Health in June 2013, a decision on a request to register a medical device must be delivered by AMAR within 120 days from the date of the request, although this rarely occurs. The current rules for the registration of medical devices do not provide for an expedited approval process.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granted by the MOH,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the Israeli Registration Holder, or IRH, must do the following to maintain its license:</w:t>
      </w:r>
    </w:p>
    <w:p>
      <w:pPr>
        <w:spacing w:after="0" w:line="176"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 and maintain a place of business in Israel and serve as the regulatory representative.</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questions from AMAR concerning the registered products.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adverse events to AMAR.</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the registration on time to keep the market approval active.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Comply with post-marketing requirements, including reporting of adverse and unexpected events occurring in Israel or in other countries where the device is in use.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Getting a device listed on Israel’s four major Sick Funds (health insurance entities) is also necessary in order for Israeli hospitals and health care providers to order such products.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Microbot intends to apply for a license from the MOH for each of its medical devices. There is no guarantee that Microbot will be granted licenses for its pipeline products and failure to obtain such licenses would adversely affect its ability to grow its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3.H. Mona Litigation:” to the quarterly financial statements for the quarter ended March 31, 2024, included elsewhere in this prospectus.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in any case that would have a material adverse effect on us or our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Description of 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U.S.-based employees currently either work remotely or at leased premises in the suburbs of Boston, Massachusetts of approximately 300 square feet. Microbot also occupies facilities in premises of approximately 6,975 square feet at 6 Hayozma St., Yokneam, P.O.B. 242, Israel. This facility is expected to provide the space and infrastructure necessary to accommodate its development work based on its current operating plan. Microbot does not own any real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17, 2024, we have 22 employees (including full-time and hourly employees).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Chief Executive Officer, President and Chairman, Harel Gadot, along with 5 other full-time employees, are based in the United States. Additionally, Microbot has 15 full-time employees and 1 part time employee based in its office located in Yokneam, Israel. These employees oversee day-to-day operations of the Company and leading engineering, manufacturing, intellectual property and administration functions of the Company. As required, Microbot also engages consultants to provide services to the Company, including regulatory, legal and corporate services. We are subject to labor laws and regulations within our locations in the U.S. and Israel. These laws and regulations principally concern matters such as pensions, paid annual vacation, paid sick days, length of the workday and work week, minimum wages, overtime pay, insurance for work-related accidents, severance pay and other conditions of employment. Microbot has no unionized employees.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historically been able to attract and retain top talent by creating a culture that challenges and engages our employees, offering them opportunities to learn, grow and achieve their career goals.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Benefits and Wellbeing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provide competitive compensation for our employees. We offer annual bonuses and stock-based compensation for eligible employees. As a result of our May 2023 cost reduction plan, our executive officers and certain of our employees took salary reductions, although all of them have since had their salaries reinstated. We can give no assurance that such plan will not have an adverse effect on our ability to attract and/or retain employees or remain competitive for talent.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Training and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aim to provide our employees with advanced professional and development skills, so that they can perform effectively in their roles and build their capabilities and career prospects for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strive to encourage a diversity of views and to create an equal opportunity workplace. During the past year, we have increased the total number of women in management positions.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currently have seven directors serving on our Board. The following table lists the names, ages and positions of the individuals who serve as directors of the Company, as of June 17,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08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3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Harel Gadot</w:t>
            </w:r>
          </w:p>
        </w:tc>
        <w:tc>
          <w:tcPr>
            <w:tcW w:w="220" w:type="dxa"/>
            <w:vAlign w:val="bottom"/>
          </w:tcPr>
          <w:p>
            <w:pPr>
              <w:spacing w:after="0"/>
              <w:rPr>
                <w:sz w:val="17"/>
                <w:szCs w:val="17"/>
                <w:color w:val="auto"/>
              </w:rPr>
            </w:pPr>
          </w:p>
        </w:tc>
        <w:tc>
          <w:tcPr>
            <w:tcW w:w="5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17"/>
                <w:szCs w:val="17"/>
                <w:color w:val="auto"/>
              </w:rPr>
            </w:pPr>
          </w:p>
        </w:tc>
        <w:tc>
          <w:tcPr>
            <w:tcW w:w="70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Yoseph Bornstein(1)(3)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Burell(1)(2)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Madden(1)(3)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Prattipati Laxminarain(2)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Aileen Stockburger(3)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Tal Wenderow(2)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80" w:hanging="672"/>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27"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Corporate Governance Committee.</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 classified Board, with each of our directors serving a staggered three-year term. The following table shows the current composition of the three classes of our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 Directors (term scheduled to expire in 2025):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Martin Madden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Tal Wenderow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 Directors (term scheduled to expire in 2026):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Scott Burell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Aileen Stockburger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III Directors (term scheduled to expire in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Yoseph Bornstein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Prattipati Laxminarain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Biographies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Harel Gadot</w:t>
      </w:r>
      <w:r>
        <w:rPr>
          <w:rFonts w:ascii="Times New Roman" w:cs="Times New Roman" w:eastAsia="Times New Roman" w:hAnsi="Times New Roman"/>
          <w:sz w:val="18"/>
          <w:szCs w:val="18"/>
          <w:color w:val="auto"/>
        </w:rPr>
        <w:t>, became President, Chief Executive Officer and Chairman of the Company’s Board following the consummation of the Merger. Mr. Gadot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co-founder of Microbot Israel and has served as Microbot Israel’s Chief Executive Officer since Microbot Israel was founded in November 2010. He has been the Chairman of Microbot Israel’s board of directors since July 2014. He also served as a director until January 2024 of XACT Robotics Ltd., an Israel-based private company that recently ceased operations and is in insolvency proceedings in Israel, and was its Chairman from August 2013 until September 2023. Mr. Gadot serves as Chairman of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Yoseph Bornstein</w:t>
      </w:r>
      <w:r>
        <w:rPr>
          <w:rFonts w:ascii="Times New Roman" w:cs="Times New Roman" w:eastAsia="Times New Roman" w:hAnsi="Times New Roman"/>
          <w:sz w:val="18"/>
          <w:szCs w:val="18"/>
          <w:color w:val="auto"/>
        </w:rPr>
        <w:t>, became a director of the Company following the Merger. Mr. Bornstein is a co-founder of Microbot Israel and has been a member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since Microbot Israel was founded in November 2010. Mr. Bornstein founded Shizim Ltd., a life science holding group in October 2000 and has served as its CEO and director since then. Mr. Bornstein is the Chairman of, and through Shizim owns a stake in: GCP Clinical Studies Ltd., a provider of clinical research services and educational programs in Israel since January 2002; Biotis Ltd., a service company for the bio-pharmaceutical industry, since June 2000; Dolphin Medical Ltd., which supplies the medical device industry, since April 2012, and LSA - Life Science Accelerator Ltd., since 2000. He is the Chairman of ASIS Enterprises B.B.G. Ltd., a business development company focusing on creating business ties between Israeli and Japanese entities, since August 2007. Mr. Bornstein is a co-founder and until January 2024 was a director of XACT Robotics, an Israel-based private company that recently ceased operations and is in insolvency proceedings in Israel.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United States-Israel Science &amp; Technology Commission (the “USISTC”) from September 2002 to February 2005 as well as a consultant for USISTC from September 2002 to February 2005. He is also the founder of ILSI-Israel Life Science Industry Organization (who was integrated into IATI) and ITTN-Israel Tech Transfer Organization. He founded in July 2014 ShizimXL Ltd., an international medical device innovation center, and founded in January 2020 ShizimVS Ltd., a digital health innovation center. Mr. Bornstein is an external director in Can-fite BioPharma Ltd. (Nasdaq:CANF). At the time of his last nomination and election in 2022, the Company believed that Mr. Bornstein was qualified to serve as a member of the Board due to his extensive experience in, and knowledge of, the life sciences industry and international business.</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Scott R. Burell</w:t>
      </w:r>
      <w:r>
        <w:rPr>
          <w:rFonts w:ascii="Times New Roman" w:cs="Times New Roman" w:eastAsia="Times New Roman" w:hAnsi="Times New Roman"/>
          <w:sz w:val="18"/>
          <w:szCs w:val="18"/>
          <w:color w:val="auto"/>
        </w:rPr>
        <w:t>, became a director of the Company in November 2016. Since August 2018, Mr. Burell has been the Chief Financial Officer and Secretary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AIVITA Biomedical, Inc., an Irvine California-based immuno-oncology company focused on the advancement of commercial and clinical-stage programs utilizing curative and regenerative medicines. From November 2006 until its sale to Invitae Corp. (NASDAQ: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Martin Madden</w:t>
      </w:r>
      <w:r>
        <w:rPr>
          <w:rFonts w:ascii="Times New Roman" w:cs="Times New Roman" w:eastAsia="Times New Roman" w:hAnsi="Times New Roman"/>
          <w:sz w:val="18"/>
          <w:szCs w:val="18"/>
          <w:color w:val="auto"/>
        </w:rPr>
        <w:t>, has been a director of the Company since February 6, 2017. Mr. Madden has held various positions at Johnson &amp; Johnson and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0" w:name="page61"/>
    <w:bookmarkEnd w:id="60"/>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Prattipati Laxminarain</w:t>
      </w:r>
      <w:r>
        <w:rPr>
          <w:rFonts w:ascii="Times New Roman" w:cs="Times New Roman" w:eastAsia="Times New Roman" w:hAnsi="Times New Roman"/>
          <w:sz w:val="18"/>
          <w:szCs w:val="18"/>
          <w:color w:val="auto"/>
        </w:rPr>
        <w:t>, has been a director of the Company since December 6, 2017. From April 2006 through October 2017, Mr. Laxminarain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Aileen Stockburger </w:t>
      </w:r>
      <w:r>
        <w:rPr>
          <w:rFonts w:ascii="Times New Roman" w:cs="Times New Roman" w:eastAsia="Times New Roman" w:hAnsi="Times New Roman"/>
          <w:sz w:val="18"/>
          <w:szCs w:val="18"/>
          <w:color w:val="auto"/>
        </w:rPr>
        <w:t>was appointed by the Board on March 26, 2020 to fill a vacancy on the Board and to serve as a Class II director of the Company,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the Chair of Next Science Limited (ASX: NXS), a medical technology company headquartered in Sydney, Australia, with a primary focus in the development and continued commercialization of its proprietary technology to reduce the impact of biofilm based infections in human health.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Tal Wenderow </w:t>
      </w:r>
      <w:r>
        <w:rPr>
          <w:rFonts w:ascii="Times New Roman" w:cs="Times New Roman" w:eastAsia="Times New Roman" w:hAnsi="Times New Roman"/>
          <w:sz w:val="18"/>
          <w:szCs w:val="18"/>
          <w:color w:val="auto"/>
        </w:rPr>
        <w:t>was appointed by the Board on July 29, 2020 to fill a vacancy on the Board and to serve as a Class I director of the Company, with a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commencing on August 1, 2020.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NASDAQ’s listing standards and the Company’s Corporate Governance Guidelines require that the Company’s Board of Directors consist of a majority of independent directors, as determined under the applicable NASDAQ listing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independent members of our Board are Messrs. Bornstein, Burell, Madden, Laxminarain and Wenderow, and Ms. Stockburger.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Diversity Matrix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matrix below reflects our Board’s gender and racial characteristics and LGBTQ+ status, based on the self-identification of our directors. Each of the categories listed below has the meaning as it is used in Nasdaq Rule 5605(f).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June 17,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40" w:type="dxa"/>
            <w:vAlign w:val="bottom"/>
            <w:tcBorders>
              <w:top w:val="single" w:sz="8" w:color="auto"/>
            </w:tcBorders>
          </w:tcPr>
          <w:p>
            <w:pPr>
              <w:jc w:val="center"/>
              <w:ind w:right="1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Total Number of Directors</w:t>
            </w:r>
          </w:p>
        </w:tc>
        <w:tc>
          <w:tcPr>
            <w:tcW w:w="16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7</w:t>
            </w:r>
          </w:p>
        </w:tc>
        <w:tc>
          <w:tcPr>
            <w:tcW w:w="16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r>
      <w:tr>
        <w:trPr>
          <w:trHeight w:val="259"/>
        </w:trPr>
        <w:tc>
          <w:tcPr>
            <w:tcW w:w="3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Gender Identity: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24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240" w:type="dxa"/>
            <w:vAlign w:val="bottom"/>
          </w:tcPr>
          <w:p>
            <w:pPr>
              <w:spacing w:after="0"/>
              <w:rPr>
                <w:sz w:val="22"/>
                <w:szCs w:val="22"/>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Non-Binary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 Undisclosed</w:t>
            </w:r>
          </w:p>
        </w:tc>
      </w:tr>
      <w:tr>
        <w:trPr>
          <w:trHeight w:val="194"/>
        </w:trPr>
        <w:tc>
          <w:tcPr>
            <w:tcW w:w="3840" w:type="dxa"/>
            <w:vAlign w:val="bottom"/>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Directors</w:t>
            </w:r>
          </w:p>
        </w:tc>
        <w:tc>
          <w:tcPr>
            <w:tcW w:w="1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tcPr>
          <w:p>
            <w:pPr>
              <w:spacing w:after="0"/>
              <w:rPr>
                <w:sz w:val="16"/>
                <w:szCs w:val="16"/>
                <w:color w:val="auto"/>
              </w:rPr>
            </w:pPr>
          </w:p>
        </w:tc>
        <w:tc>
          <w:tcPr>
            <w:tcW w:w="16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 Directors who Identify in any of the Categories Below:</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African American or Black</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Alaskan Native or Native American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Asian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Hispanic or Latinx</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Native Hawaiian or Pacific Islander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White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1</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Two or More Races or Ethnicities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LGBTQ+</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8"/>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Did Not Disclose Demographic Background</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9"/>
        </w:trPr>
        <w:tc>
          <w:tcPr>
            <w:tcW w:w="38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54</w:t>
            </w:r>
          </w:p>
        </w:tc>
        <w:tc>
          <w:tcPr>
            <w:tcW w:w="1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four meetings during the fiscal year ended December 31, 2023.</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is composed of Messrs. Madden (Chairman), Bornstein and Stockburger. Each of the members of the Compensation Committee is independent. The Compensation Committee acts pursuant to a written charter which is available through our website at www.microbotmedical.com. The Compensation Committee held two meetings during the fiscal year ended December 31, 2023 and acted by unanimous written consent three times.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2023.</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Oversight and Qualifications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Involving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legal proceedings involving the members of the Board.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474"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are the name, age and other information for our executive officers, as of June 17, 2024. All company officers have been appointed to serve until their successors are elected and qualified or until their earlier resignation or removal. Information regarding Harel Gadot, our Chairman, President and Chief Executive Officer, is set forth above under “Board of Directors and Management-Director Biographies”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08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3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Harel Gadot</w:t>
            </w:r>
          </w:p>
        </w:tc>
        <w:tc>
          <w:tcPr>
            <w:tcW w:w="220" w:type="dxa"/>
            <w:vAlign w:val="bottom"/>
          </w:tcPr>
          <w:p>
            <w:pPr>
              <w:spacing w:after="0"/>
              <w:rPr>
                <w:sz w:val="17"/>
                <w:szCs w:val="17"/>
                <w:color w:val="auto"/>
              </w:rPr>
            </w:pPr>
          </w:p>
        </w:tc>
        <w:tc>
          <w:tcPr>
            <w:tcW w:w="5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17"/>
                <w:szCs w:val="17"/>
                <w:color w:val="auto"/>
              </w:rPr>
            </w:pPr>
          </w:p>
        </w:tc>
        <w:tc>
          <w:tcPr>
            <w:tcW w:w="70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 and General Manager, Microbot Israel</w:t>
            </w: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Diaz-Cartelle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Rachel Vaknin, </w:t>
      </w:r>
      <w:r>
        <w:rPr>
          <w:rFonts w:ascii="Times New Roman" w:cs="Times New Roman" w:eastAsia="Times New Roman" w:hAnsi="Times New Roman"/>
          <w:sz w:val="18"/>
          <w:szCs w:val="18"/>
          <w:color w:val="auto"/>
        </w:rPr>
        <w:t>has served as the Company’s Chief Financial Officer since April 2022 and before that was its VP Finance since January 2022.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2017 to December 2021, Ms. Vaknin served as the Chief Financial Officer at Imagry, an Israeli-American autonomous technologies software provider. From April 2004 through December 2016, Ms. Vaknin was the FP&amp;A Department Manager at Mellanox Technologies Ltd., an Israeli-American multinational supplier of computer networking products acquired by Nvidia in 2020, where she was responsible, among other things, for budget planning, budget control, building and maintaining business intelligence key performance indicators, leading teams with respect to preparing quarterly financial statements, obtaining and managing grant monies, and Sarbanes-Oxley controls.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Simon Sharon</w:t>
      </w:r>
      <w:r>
        <w:rPr>
          <w:rFonts w:ascii="Times New Roman" w:cs="Times New Roman" w:eastAsia="Times New Roman" w:hAnsi="Times New Roman"/>
          <w:sz w:val="18"/>
          <w:szCs w:val="18"/>
          <w:color w:val="auto"/>
        </w:rPr>
        <w:t>, has served as the Company’s Chief Technology Officer since April 2018 and as the General Manager of Microbot Israel since April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August 2016 to March 2018, Mr. Sharon served as the Chief Technology Officer at MEDX Xelerator, an Israel-based medical device and digital health incubator. He was also a director until January 2024 of XACT Robotics Ltd., an Israel-based private company that recently ceased operations and is in insolvency proceedings in Israel. Mr. Harel Gadot, the Company’s President, CEO and Chairman, is the Chairman of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Dr. Juan Diaz-Cartelle</w:t>
      </w:r>
      <w:r>
        <w:rPr>
          <w:rFonts w:ascii="Times New Roman" w:cs="Times New Roman" w:eastAsia="Times New Roman" w:hAnsi="Times New Roman"/>
          <w:sz w:val="18"/>
          <w:szCs w:val="18"/>
          <w:color w:val="auto"/>
        </w:rPr>
        <w:t>, has served as the Company’s Chief Medical Officer since December 1, 2023. As CMO, Dr. Diaz-Cartelle will lead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execution of the clinical strategy of the Company, including its planned clinical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the medical affairs activity, and will be an integral part of the team leading its regulatory process with the FDA and commercial efforts. Most recently, from May 2022 to November 2023, Dr. Diaz-Cartelle served as the Executive Medical Director at Haemonetics Corporation (NYSE: HAE), where he advised that company on new investments in the cardiovascular space, among other responsibilities. Prior to that, from June 2008 to May 2022, Dr. Diaz-Cartelle served as the Senior Medical Director for the Peripheral Interventional Division (Endovascular and Interventional Oncology) at Boston Scientific Corporation (NYSE: BSX), where he played a pivotal part in the development of global clinical strategy and study oversight, supporting commercial activities and future pipeline development. Dr. Diaz-Cartelle obtained his medical degree at the University of Navarra (Spain) and completed his specialty as Angiologist and Vascular Surgeon at Hospital General Universitario Gregorio Maranon in Madrid (Spain).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16(a) Reports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2023, all Section 16(a) filing requirements applicable to our officers, directors and greater than 10% beneficial owners have been met.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and Compensation Recovery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2023, the Company adopted a clawback policy which implements the incentive-based compensation recovery provisions of the Dodd-Frank Wall Street Reform and Consumer Protection Act of 2010 as required under the listing standards of Nasdaq, and requires recovery of incentive-based compensation received by current or former executive officers during the three fiscal years preceding the date it is determined that the Company is required to prepare an accounting restatement.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each element of compensation that was paid or awarded to the named executive officers of the Company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80" w:type="dxa"/>
            <w:vAlign w:val="bottom"/>
          </w:tcPr>
          <w:p>
            <w:pPr>
              <w:spacing w:after="0"/>
              <w:rPr>
                <w:sz w:val="21"/>
                <w:szCs w:val="21"/>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140" w:type="dxa"/>
            <w:vAlign w:val="bottom"/>
          </w:tcPr>
          <w:p>
            <w:pPr>
              <w:spacing w:after="0"/>
              <w:rPr>
                <w:sz w:val="21"/>
                <w:szCs w:val="21"/>
                <w:color w:val="auto"/>
              </w:rPr>
            </w:pPr>
          </w:p>
        </w:tc>
        <w:tc>
          <w:tcPr>
            <w:tcW w:w="12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8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6"/>
        </w:trPr>
        <w:tc>
          <w:tcPr>
            <w:tcW w:w="2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372,521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386,000(2)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470,302</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55,300(3)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1,284,123</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President &amp; Chairman</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514,049</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300,000(5)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971,217</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52,900(4)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1,838,166</w:t>
            </w: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Simon Sharon</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195,901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87,022(2)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88,418</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98,589(6)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469,930</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CTO and GM</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255,621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89,721(5)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65,114</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115,874(6)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526,330</w:t>
            </w: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Eyal Morag</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146,403</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82,878(2)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101,356</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181,235(8)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511,872</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CMO (7)</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284,024</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89,164(5)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90,836</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137,245(8)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601,269</w:t>
            </w: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139,601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27,626(2)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76,533</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45,743(9)</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289,503</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CFO</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142,012</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45,263</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47,372(9)</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234,647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4"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for the fiscal year ended December 31, 2023 included in the Company’s Annual Report on Form 10-K for the fiscal year ended December 31, 2023.</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2022 fiscal year, which amount was actually paid in 2023.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to the named executive officer’s 401(k) Plan, and a yearly automobile allowance.</w:t>
      </w:r>
    </w:p>
    <w:p>
      <w:pPr>
        <w:spacing w:after="0" w:line="9"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2021 fiscal year, which amount was actually paid in 2022.</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 and yearly automobile allowance.</w:t>
      </w: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29, 2023, Dr. Morag resigned from his position with the Company, effective November 29, 2023.</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 It also includes a yearly automobile allowance and, for the 2023 fiscal year, payments for accrued vacation days upon termination of employment.</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outstanding equity awards held by each of the named executive officers as of the end of the fiscal year ended December 31,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Plan</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 Payout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of</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value of</w:t>
            </w:r>
          </w:p>
        </w:tc>
        <w:tc>
          <w:tcPr>
            <w:tcW w:w="12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Unearned</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Units or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Units or</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That</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Rights</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That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That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45"/>
        </w:trPr>
        <w:tc>
          <w:tcPr>
            <w:tcW w:w="264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1"/>
                <w:szCs w:val="21"/>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60" w:type="dxa"/>
            <w:vAlign w:val="bottom"/>
          </w:tcPr>
          <w:p>
            <w:pPr>
              <w:spacing w:after="0"/>
              <w:rPr>
                <w:sz w:val="21"/>
                <w:szCs w:val="21"/>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20" w:type="dxa"/>
            <w:vAlign w:val="bottom"/>
          </w:tcPr>
          <w:p>
            <w:pPr>
              <w:spacing w:after="0"/>
              <w:rPr>
                <w:sz w:val="21"/>
                <w:szCs w:val="21"/>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4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Vested</w:t>
            </w:r>
          </w:p>
        </w:tc>
      </w:tr>
      <w:tr>
        <w:trPr>
          <w:trHeight w:val="216"/>
        </w:trPr>
        <w:tc>
          <w:tcPr>
            <w:tcW w:w="2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Harel Gadot</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77,846</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4.20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1/01/2025</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120,847</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15.75</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9/14/2027</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166,666</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2/25/2030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190,000</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8.48</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02/01/2031</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62,500</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37,500</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64,000</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96,000</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3.73</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80,000</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08/13/2028</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14,170</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5.95</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08/12/2029</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26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bl>
    <w:p>
      <w:pPr>
        <w:sectPr>
          <w:pgSz w:w="11900" w:h="16900" w:orient="portrait"/>
          <w:cols w:equalWidth="0" w:num="1">
            <w:col w:w="11240"/>
          </w:cols>
          <w:pgMar w:left="320" w:top="684" w:right="339" w:bottom="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15,625</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9,375</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6.48</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01/26/2032</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18"/>
                <w:szCs w:val="18"/>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11,375</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23,625</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3.48</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12/21/2032</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17,500</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2.43</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08/01/2033</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12,500</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7,500</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6.48</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01/26/2032</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18"/>
                <w:szCs w:val="18"/>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4,750</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5,250</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4.80</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07/18/2032</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5,200</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7,800</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3.73</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12/21/2032</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18"/>
                <w:szCs w:val="18"/>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17,500</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2.43</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08/01/2033</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Eyal Morag</w:t>
            </w: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25,000</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6.16</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02/29/2024</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15,625</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6.48</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02/29/2024</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2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57</w:t>
            </w:r>
          </w:p>
        </w:tc>
        <w:tc>
          <w:tcPr>
            <w:tcW w:w="1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Harel Gadot Employment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The Gadot Agreement was amended most recently on January 26, 2022, with a subsequent annual salary increase on December 21, 2022. Mr. Gadot’s annual base salary for 2023 was $530,450; however, as a result of the Company’s May 2023 cost reduction plan, Mr. Gadot agreed to a 50% reduction of his base salary, with reinstatement of his full base salary effective as of January 1, 2024. The salary is reviewed on an annual basis by the Compensation Committee of the Company to determine potential increases taking into account such performance metrics and criteria as established by Mr. Gadot and the Company.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as of January 26, 2022, Mr. Gadot shall also be entitled to receive a target annual cash bonus of up to a maximum amount of 75% of base salary. For the 2023 fiscal year, Mr. Gadot received (a) a cash bonus of $298,377, payable (i) 50% ($149,188.50) in the event we raise at least $3.0 million in new money by June 30, 2024 and (ii) 50% ($149,188.50) in the event we raise at least $6 million in new money by September 30, 2024 (cumulative, so if $3.0 million is not raised by June 30, 2024 but the full $6.0 million is raised by September 30, 2024, the full amount is payable) and (b) a bonus in the form of 79,567 stock options.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Most recently, in August 2023, the Company granted Mr. Gadot 80,000 options, and in February 2024, the Company granted Mr. Gadot an aggregate of 240,000 options (exclusive of the bonus options described above).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for cause, Mr. Gadot would be entitled to receive any compensation then due and payable incurred up to the date of termination.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Rachel Vaknin Employment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an employment agreement (the “Vaknin Agreement”), dated November 22, 2021, with Ms. Vaknin, amended as of May 15, 2023 (the “Vaknin Addendum”),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Ms. Vaknin was to receive an annual base salary in 2023 of $170,000; however, as a result of the Company’s May 2023 cost reduction plan and the Vaknin Addendum, Ms. Vaknin’s gross monthly salary was decreased to a gross amount of NIS 35,000 and social and fringe benefits due to Ms. Vaknin were calculated based upon the updated salary, excluding sick days and vacation days which continued to be accumulated per her existing Agreement. The reinstatement of her full base salary was effective as of November 1, 2023.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jc w:val="both"/>
        <w:spacing w:after="0" w:line="266" w:lineRule="auto"/>
        <w:rPr>
          <w:sz w:val="20"/>
          <w:szCs w:val="20"/>
          <w:color w:val="auto"/>
        </w:rPr>
      </w:pPr>
      <w:r>
        <w:rPr>
          <w:rFonts w:ascii="Times New Roman" w:cs="Times New Roman" w:eastAsia="Times New Roman" w:hAnsi="Times New Roman"/>
          <w:sz w:val="18"/>
          <w:szCs w:val="18"/>
          <w:color w:val="auto"/>
        </w:rPr>
        <w:t>Ms. Vaknin shall also be entitled to receive a target annual cash bonus, based on certain milestones, of up to a maximum amount of 35% (increased from 25% in February 2024) of her annual salary. For the 2023 fiscal year, Ms. Vaknin received a cash bonus of 150,000 NIS (approximately $41,000), payable 50% immediately and 50% payable in the event we raise at least $3.0 million in new money by September 30,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Most recently, in August 2023, the Company granted Ms. Vaknin 17,500 options and in February 2024, the Company granted Ms. Vaknin an aggregate of 52,500 options.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Either the Company or Ms. Vaknin may terminate the Vaknin Agreement at its discretion at any time by providing the other party with two months prior written notice of termination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terminate the Vaknin Agreement “For Cause” (as defined in the Vaknin Agreement) at any time by written notice without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Simon Sharon Employment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employment agreement, dated as of March 31, 2018 and amended pursuant to a First Amendment to Employment Agreement dated as of April 19, 2021 (as so amended, the “Sharon Agreement”), as further amended as of May 15, 2023 (the “Sharon Addendum”), with Mr. Sharon, to serve as the Company’s Chief Technology Officer and the General Manager of Microbot Israel, on an indefinite basis subject to the termination provisions described in the Sharon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salary is reviewed on an annual basis by the Compensation Committee of the Company to determine potential increases taking into account such performance metrics and criteria as established by the Company.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Sharon Agreement, Mr. Sharon was to have received in 2023 a combined base salary and overtime payment of NIS 74,160 per month. For 2023, as a result of the Company’s May 2023 cost reduction plan and the Sharon Addendum, Mr. Sharon’s gross monthly salary was decreased to a gross amount of NIS 44,496 and social and fringe benefits due to Mr. Sharon were calculated based upon the updated salary, excluding sick days and vacation days which continued to be accumulated per the Sharon Agreement. The reinstatement of his full base salary was effective as of November 1, 2023.</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Sharon is also entitled to receive an annual cash bonus of up to 35% of the annual combined salary and overtime payment, based on certain performance factors established and assessed by the Compensation Committee of the Board of Directors of the Company. For the 2023 fiscal year, Mr. Sharon received a cash bonus of 311,472 NIS (approximately $85,000), payable 50% immediately and 50% payable in the event we raise at least $3.0 million in new money by September 30,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Most recently, in August 2023, the Company granted Mr. Sharon 17,500 options and in February 2024, the Company granted Mr. Sharon an aggregate of 52,500 options.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jc w:val="both"/>
        <w:spacing w:after="0" w:line="282" w:lineRule="auto"/>
        <w:rPr>
          <w:sz w:val="20"/>
          <w:szCs w:val="20"/>
          <w:color w:val="auto"/>
        </w:rPr>
      </w:pPr>
      <w:r>
        <w:rPr>
          <w:rFonts w:ascii="Times New Roman" w:cs="Times New Roman" w:eastAsia="Times New Roman" w:hAnsi="Times New Roman"/>
          <w:sz w:val="18"/>
          <w:szCs w:val="18"/>
          <w:color w:val="auto"/>
        </w:rPr>
        <w:t>Either the Company or Mr. Sharon may terminate the Sharon Agreement without cause (as defined in the Sharon Agreement) by providing the other party with ninety days prior written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terminate the Sharon Agreement for cause at any time by written notice without any advance notice.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Juan Diaz-Cartelle Employment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entered into an employment agreement (the “Diaz-Cartelle Agreement”), effective as of December 1, 2023, with Dr. Diaz-Cartelle, to serve as Chief Medical Officer on an indefinite basis subject to the termination provisions described in the Diaz-Cartelle Agreement. Pursuant to the terms of the Agreement, Dr. Diaz-Cartelle shall receive an annual base salary of $350,000, which shall be reviewed on an annual basis by the Company’s Compensation Committee, which may provide for increases as it may determine, taking into account such performance metrics and criteria of Dr. Diaz-Cartelle and the Company in its sole discretion.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Diaz-Cartelle shall also be entitled to receive a target annual cash bonus, based on corporate performance factors established and assessed by the Compensation Committee, of up to a maximum amount of 30% of his annual base salary.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Diaz-Cartelle was granted 10-year options to purchase 25,000 shares of common stock of the Company pursuant to the Company’s 2020 Omnibus Performance Award Plan, as amended, having an exercise price per share based on the closing price of the Company’s common stock on the date of grant, and which vests in total over three years. He shall also be entitled to receive additional incentive equity awards on an annual basis at the discretion of the Compensation Committee, and in February 2024, the Company granted Mr. Diaz-Cartelle an aggregate of 35,000 options.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Agreement, either the Company or Dr. Diaz-Cartelle shall have the right to earlier terminate Dr. Diaz-Cartelle’s employment at any time for any reason or no reason upon at least one month prior written notice.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Diaz-Cartelle Agreement, other than the right to receive any compensation then due and payable to him through to the date of termination.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Dr. Diaz-Cartelle may terminate the Agreement with “Good Reason” (as defined in the Diaz-Cartelle Agreement) at any time by written notice, subject to the Company’s right to cure as provided in the Diaz-Cartelle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 the Consolidated Omnibus Budget Reconciliation Act of 1986, as amended, for twelve months from the date of termination for any benefits plan sponsored by the Company.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w:t>
      </w:r>
    </w:p>
    <w:p>
      <w:pPr>
        <w:jc w:val="both"/>
        <w:ind w:firstLine="8"/>
        <w:spacing w:after="0" w:line="253" w:lineRule="auto"/>
        <w:tabs>
          <w:tab w:leader="none" w:pos="28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both"/>
        <w:spacing w:after="0" w:line="266" w:lineRule="auto"/>
        <w:rPr>
          <w:sz w:val="20"/>
          <w:szCs w:val="20"/>
          <w:color w:val="auto"/>
        </w:rPr>
      </w:pPr>
      <w:r>
        <w:rPr>
          <w:rFonts w:ascii="Times New Roman" w:cs="Times New Roman" w:eastAsia="Times New Roman" w:hAnsi="Times New Roman"/>
          <w:sz w:val="18"/>
          <w:szCs w:val="18"/>
          <w:color w:val="auto"/>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Limits on Liability and Indemnification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adopted in January 2021 an amended compensation package for the non-management members of its Board, pursuant to which each such Board member would receive for his or her services $35,000 per year. Furthermore, each member of the Audit Committee of the Board receives an additional $10,000 per year ($20,000 if Chairman), each member of the Compensation Committee of the Board receives an additional $7,500 per year ($15,000 if Chairman) and each member of the Corporate Governance and Nominating Committee of the Board receives an additional $5,000 per year ($10,000 if Chairman). Board members are also entitled to receive equity awards. Upon joining the Board, a member would receive an initial grant of $190,000 of stock options (calculated as the product of the exercise price on the date of grant multiplied by the number of shares underlying the stock option award required to equal $190,000), with an additional grant of stock options each year thereafter, to purchase such number of shares of the Company’s common stock equal to $95,000, computed on a similar basis. As a result of the Company’s May 2023 cost reduction plan, the independent members of the Board agreed to a suspension of their quarterly director fees, with reinstatement of such fees effective as of January 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and equity-based compensation information for our outside directors, for the year ended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Nonqualified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or paid</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32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1"/>
                <w:szCs w:val="21"/>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 cash</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40" w:type="dxa"/>
            <w:vAlign w:val="bottom"/>
          </w:tcPr>
          <w:p>
            <w:pPr>
              <w:spacing w:after="0"/>
              <w:rPr>
                <w:sz w:val="21"/>
                <w:szCs w:val="21"/>
                <w:color w:val="auto"/>
              </w:rPr>
            </w:pP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21"/>
                <w:szCs w:val="21"/>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Yoseph Bornstein</w:t>
            </w:r>
          </w:p>
        </w:tc>
        <w:tc>
          <w:tcPr>
            <w:tcW w:w="11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$ 13,125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$ 60,998</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74,123</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Scott Burell</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$ 15,000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$ 60,998</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75,998</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Madden</w:t>
            </w:r>
          </w:p>
        </w:tc>
        <w:tc>
          <w:tcPr>
            <w:tcW w:w="11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$ 15,000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$ 60,998</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75,998</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Prattipati Laxminarain</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$ 11,250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$ 60,998</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72,248</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Aileen Stockburger</w:t>
            </w:r>
          </w:p>
        </w:tc>
        <w:tc>
          <w:tcPr>
            <w:tcW w:w="11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$ 10,625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$ 64,386</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75,011</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Tal Wenderow</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$ 10,000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$ 63,701</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jc w:val="both"/>
        <w:ind w:left="340" w:hanging="332"/>
        <w:spacing w:after="0" w:line="261"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10 to the Consolidated Financial Statements of the Company included in the Company’s Annual Report on Form 10-K for the fiscal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Gadot received compensation for his services to the Company as set forth under the summary compensation table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related party transactions or any other transactions or relationships required to be disclosed pursuant to Item 404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Table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shares of our common stock that may be issued upon the exercise of options under all of our existing compensation plans as of December 31, 2023.</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2017 Equity Incentive Plan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2020 Omnibus Performance Award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Microbot Israel Employee Stock Option Plan(1)</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 Options (2)</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7830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680" w:type="dxa"/>
            <w:vAlign w:val="bottom"/>
          </w:tcPr>
          <w:p>
            <w:pPr>
              <w:spacing w:after="0"/>
              <w:rPr>
                <w:sz w:val="18"/>
                <w:szCs w:val="18"/>
                <w:color w:val="auto"/>
              </w:rPr>
            </w:pP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680" w:type="dxa"/>
            <w:vAlign w:val="bottom"/>
          </w:tcPr>
          <w:p>
            <w:pPr>
              <w:spacing w:after="0"/>
              <w:rPr>
                <w:sz w:val="18"/>
                <w:szCs w:val="18"/>
                <w:color w:val="auto"/>
              </w:rPr>
            </w:pP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20" w:type="dxa"/>
            <w:vAlign w:val="bottom"/>
          </w:tcPr>
          <w:p>
            <w:pPr>
              <w:spacing w:after="0"/>
              <w:rPr>
                <w:sz w:val="18"/>
                <w:szCs w:val="18"/>
                <w:color w:val="auto"/>
              </w:rPr>
            </w:pPr>
          </w:p>
        </w:tc>
        <w:tc>
          <w:tcPr>
            <w:tcW w:w="18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45"/>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3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3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630"/>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492,133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131,585</w:t>
            </w:r>
          </w:p>
        </w:tc>
      </w:tr>
      <w:tr>
        <w:trPr>
          <w:trHeight w:val="234"/>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1,463,806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4.14</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556,846</w:t>
            </w:r>
          </w:p>
        </w:tc>
      </w:tr>
      <w:tr>
        <w:trPr>
          <w:trHeight w:val="414"/>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61,577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77, 846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4.20</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2,095,362</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688,431</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-1165225</wp:posOffset>
            </wp:positionV>
            <wp:extent cx="71323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-882015</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-607695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-333375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5840"/>
          </w:cols>
          <w:pgMar w:left="320" w:top="684" w:right="339" w:bottom="1440" w:gutter="0" w:footer="0" w:header="0"/>
          <w:type w:val="continuous"/>
        </w:sectPr>
      </w:pPr>
    </w:p>
    <w:p>
      <w:pPr>
        <w:spacing w:after="0" w:line="38" w:lineRule="exact"/>
        <w:rPr>
          <w:sz w:val="20"/>
          <w:szCs w:val="20"/>
          <w:color w:val="auto"/>
        </w:rPr>
      </w:pPr>
    </w:p>
    <w:p>
      <w:pPr>
        <w:jc w:val="both"/>
        <w:ind w:left="220" w:hanging="215"/>
        <w:spacing w:after="0" w:line="257" w:lineRule="auto"/>
        <w:rPr>
          <w:sz w:val="20"/>
          <w:szCs w:val="20"/>
          <w:color w:val="auto"/>
        </w:rPr>
      </w:pPr>
      <w:r>
        <w:rPr>
          <w:rFonts w:ascii="Times New Roman" w:cs="Times New Roman" w:eastAsia="Times New Roman" w:hAnsi="Times New Roman"/>
          <w:sz w:val="18"/>
          <w:szCs w:val="18"/>
          <w:color w:val="auto"/>
        </w:rPr>
        <w:t>(1)Such options were originally issued by Microbot Israel under its Employee Stock Option Plan, and represented the right to purchase an aggregate of 500,000 shares of Microbot Israel’s ordinary shares. As of the effective time of the Merger, such options were retroactively adjusted to reflect the Merger and now represent the right to purchase shares of our common stock.</w:t>
      </w:r>
    </w:p>
    <w:p>
      <w:pPr>
        <w:spacing w:after="0" w:line="1" w:lineRule="exact"/>
        <w:rPr>
          <w:sz w:val="20"/>
          <w:szCs w:val="20"/>
          <w:color w:val="auto"/>
        </w:rPr>
      </w:pPr>
    </w:p>
    <w:p>
      <w:pPr>
        <w:jc w:val="both"/>
        <w:ind w:left="220" w:hanging="215"/>
        <w:spacing w:after="0" w:line="253" w:lineRule="auto"/>
        <w:rPr>
          <w:sz w:val="20"/>
          <w:szCs w:val="20"/>
          <w:color w:val="auto"/>
        </w:rPr>
      </w:pPr>
      <w:r>
        <w:rPr>
          <w:rFonts w:ascii="Times New Roman" w:cs="Times New Roman" w:eastAsia="Times New Roman" w:hAnsi="Times New Roman"/>
          <w:sz w:val="18"/>
          <w:szCs w:val="18"/>
          <w:color w:val="auto"/>
        </w:rPr>
        <w:t>(2)Such options were originally issued by Microbot Israel to MEDX Ventures Group LLC, of which Mr. Gadot is the Chief Executive Officer, Company Group Chairman and majority equity owner, and represented the right to purchase an aggregate of 486,263 of Microbot Israel’s ordinary shares. As of the effective time of the Merger, such options were retroactively adjusted to reflect the Merger and now represent the right to purchase shares of our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beneficially owned, as of June 17, 2024, by (i) each of our directors,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June 17, 2024. We calculated percentage ownership in accordance with the rules of the SEC. The percentage of common stock beneficially owned is based on 15,965,633 shares outstanding as of June 17, 2024. In addition, shares issuable pursuant to options or other convertible securities that may be acquired within 60 days of June 17, 2024 are deemed to be issued and outstanding and have been treated as outstanding in calculating and determining the beneficial ownership and percentage ownership of those persons possessing those securities, but not for any other persons.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Percentage of Common</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Stock Beneficially</w:t>
            </w:r>
          </w:p>
        </w:tc>
      </w:tr>
      <w:tr>
        <w:trPr>
          <w:trHeight w:val="245"/>
        </w:trPr>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0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32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Borders>
              <w:bottom w:val="single" w:sz="8" w:color="CCEEFF"/>
            </w:tcBorders>
          </w:tcPr>
          <w:p>
            <w:pPr>
              <w:spacing w:after="0"/>
              <w:rPr>
                <w:sz w:val="21"/>
                <w:szCs w:val="21"/>
                <w:color w:val="auto"/>
              </w:rPr>
            </w:pPr>
          </w:p>
        </w:tc>
      </w:tr>
      <w:tr>
        <w:trPr>
          <w:trHeight w:val="257"/>
        </w:trPr>
        <w:tc>
          <w:tcPr>
            <w:tcW w:w="6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Harel Gadot</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1,056,773</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6.26%</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Yoseph Bornstein</w:t>
            </w:r>
            <w:r>
              <w:rPr>
                <w:rFonts w:ascii="Times New Roman" w:cs="Times New Roman" w:eastAsia="Times New Roman" w:hAnsi="Times New Roman"/>
                <w:sz w:val="29"/>
                <w:szCs w:val="29"/>
                <w:color w:val="auto"/>
                <w:vertAlign w:val="superscript"/>
              </w:rPr>
              <w:t>(2)</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300,687</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Burell</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58,659</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Martin Madden</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58,659</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Prattipati Laxminarain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58,659</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Aileen Stockburger</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53,563</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Simon Sharon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89,170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Tal Wenderow</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51,972</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Rachel Vaknin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55,650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Juan Diaz-Cartelle</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6,250</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Eyal Morag</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r>
              <w:rPr>
                <w:rFonts w:ascii="Times New Roman" w:cs="Times New Roman" w:eastAsia="Times New Roman" w:hAnsi="Times New Roman"/>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1,790,042</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340" w:hanging="332"/>
        <w:spacing w:after="0" w:line="25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136,847 shares of our common stock owned by MEDX Ventures Group LLC, (ii) 77,846 shares of our common stock issuable upon the exercise of options granted to MEDX Ventures Group LLC, and (iii) 842,080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242,028 shares of our common stock owned by LSA - Life Science Accelerator Ltd. and (ii) 58,659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 owner of Shizim Ltd. Shizim Ltd. is the majority equity owner of LSA - Life Science Accelerator Ltd. Accordingly, Mr. Bornstein may be deemed to share voting and investment power over the shares beneficially owned by these entities and has an address of 16 Irus Street, Rosh-Ha’Ayin Israel 4858022.</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acquire shares of our common stock.</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issuable upon the exercise of options as set forth in footnotes (1), (2) and (3).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common stock to be sold by the selling stockholders is common stock that is issuable upon exercise of outstanding preferred options. To the extent the common stock underlying the preferred options are issued, there will be dilution to the ownership interests of our existing stockholders.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set forth certain information regarding the selling stockholders and the shares of common stock beneficially owned by them, which information is available to us as of June 17, 2024.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65.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The percentage of shares beneficially owned prior to the offering is based on 15,965,633 shares of our common stock outstanding as of June 17,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7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 Owned After Sale of</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27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All Shares of Common Stock</w:t>
            </w:r>
          </w:p>
        </w:tc>
      </w:tr>
      <w:tr>
        <w:trPr>
          <w:trHeight w:val="259"/>
        </w:trPr>
        <w:tc>
          <w:tcPr>
            <w:tcW w:w="3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7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Pursuant to this Prospectus</w:t>
            </w:r>
          </w:p>
        </w:tc>
      </w:tr>
      <w:tr>
        <w:trPr>
          <w:trHeight w:val="194"/>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Before</w:t>
            </w: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Stock</w:t>
            </w:r>
          </w:p>
        </w:tc>
        <w:tc>
          <w:tcPr>
            <w:tcW w:w="1440" w:type="dxa"/>
            <w:vAlign w:val="bottom"/>
            <w:tcBorders>
              <w:top w:val="single" w:sz="8" w:color="auto"/>
            </w:tcBorders>
            <w:gridSpan w:val="2"/>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245"/>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Any Sale</w:t>
            </w:r>
          </w:p>
        </w:tc>
        <w:tc>
          <w:tcPr>
            <w:tcW w:w="3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66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Offered</w:t>
            </w:r>
          </w:p>
        </w:tc>
        <w:tc>
          <w:tcPr>
            <w:tcW w:w="3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220" w:type="dxa"/>
            <w:vAlign w:val="bottom"/>
            <w:tcBorders>
              <w:bottom w:val="single" w:sz="8" w:color="CCEEFF"/>
            </w:tcBorders>
          </w:tcPr>
          <w:p>
            <w:pPr>
              <w:spacing w:after="0"/>
              <w:rPr>
                <w:sz w:val="21"/>
                <w:szCs w:val="21"/>
                <w:color w:val="auto"/>
              </w:rPr>
            </w:pPr>
          </w:p>
        </w:tc>
      </w:tr>
      <w:tr>
        <w:trPr>
          <w:trHeight w:val="257"/>
        </w:trPr>
        <w:tc>
          <w:tcPr>
            <w:tcW w:w="36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Armistice Capital, LLC</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2,143,853</w:t>
            </w:r>
          </w:p>
        </w:tc>
        <w:tc>
          <w:tcPr>
            <w:tcW w:w="1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783,336</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1,360,517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38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Anson Investments Master Fund LP</w:t>
            </w:r>
            <w:r>
              <w:rPr>
                <w:rFonts w:ascii="Times New Roman" w:cs="Times New Roman" w:eastAsia="Times New Roman" w:hAnsi="Times New Roman"/>
                <w:sz w:val="29"/>
                <w:szCs w:val="29"/>
                <w:color w:val="auto"/>
                <w:vertAlign w:val="superscript"/>
              </w:rPr>
              <w:t>(2)</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783,336</w:t>
            </w:r>
          </w:p>
        </w:tc>
        <w:tc>
          <w:tcPr>
            <w:tcW w:w="17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4.68%</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783,336</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Intracoastal Capital, LLC</w:t>
            </w:r>
            <w:r>
              <w:rPr>
                <w:rFonts w:ascii="Times New Roman" w:cs="Times New Roman" w:eastAsia="Times New Roman" w:hAnsi="Times New Roman"/>
                <w:sz w:val="29"/>
                <w:szCs w:val="29"/>
                <w:color w:val="auto"/>
                <w:vertAlign w:val="superscript"/>
              </w:rPr>
              <w:t>(3)</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1,004,398</w:t>
            </w:r>
          </w:p>
        </w:tc>
        <w:tc>
          <w:tcPr>
            <w:tcW w:w="1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783,336</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221,062</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r>
      <w:tr>
        <w:trPr>
          <w:trHeight w:val="257"/>
        </w:trPr>
        <w:tc>
          <w:tcPr>
            <w:tcW w:w="38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CVI Investments, Inc.</w:t>
            </w:r>
            <w:r>
              <w:rPr>
                <w:rFonts w:ascii="Times New Roman" w:cs="Times New Roman" w:eastAsia="Times New Roman" w:hAnsi="Times New Roman"/>
                <w:sz w:val="29"/>
                <w:szCs w:val="29"/>
                <w:color w:val="auto"/>
                <w:vertAlign w:val="superscript"/>
              </w:rPr>
              <w:t>(4)(5)</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887,433</w:t>
            </w:r>
          </w:p>
        </w:tc>
        <w:tc>
          <w:tcPr>
            <w:tcW w:w="1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783,330</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104,103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Noam Rubenstein</w:t>
            </w:r>
            <w:r>
              <w:rPr>
                <w:rFonts w:ascii="Times New Roman" w:cs="Times New Roman" w:eastAsia="Times New Roman" w:hAnsi="Times New Roman"/>
                <w:sz w:val="29"/>
                <w:szCs w:val="29"/>
                <w:color w:val="auto"/>
                <w:vertAlign w:val="superscript"/>
              </w:rPr>
              <w:t>(6)</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117,593</w:t>
            </w:r>
          </w:p>
        </w:tc>
        <w:tc>
          <w:tcPr>
            <w:tcW w:w="17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24,675</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92,918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Vasinkevich</w:t>
            </w:r>
            <w:r>
              <w:rPr>
                <w:rFonts w:ascii="Times New Roman" w:cs="Times New Roman" w:eastAsia="Times New Roman" w:hAnsi="Times New Roman"/>
                <w:sz w:val="29"/>
                <w:szCs w:val="29"/>
                <w:color w:val="auto"/>
                <w:vertAlign w:val="superscript"/>
              </w:rPr>
              <w:t>(6)</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239,388</w:t>
            </w:r>
          </w:p>
        </w:tc>
        <w:tc>
          <w:tcPr>
            <w:tcW w:w="17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1.48%</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50,231</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189,157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r>
      <w:tr>
        <w:trPr>
          <w:trHeight w:val="256"/>
        </w:trPr>
        <w:tc>
          <w:tcPr>
            <w:tcW w:w="38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Craig Schwabe</w:t>
            </w:r>
            <w:r>
              <w:rPr>
                <w:rFonts w:ascii="Times New Roman" w:cs="Times New Roman" w:eastAsia="Times New Roman" w:hAnsi="Times New Roman"/>
                <w:sz w:val="29"/>
                <w:szCs w:val="29"/>
                <w:color w:val="auto"/>
                <w:vertAlign w:val="superscript"/>
              </w:rPr>
              <w:t>(6)</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12,600</w:t>
            </w:r>
          </w:p>
        </w:tc>
        <w:tc>
          <w:tcPr>
            <w:tcW w:w="17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2,644</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9,956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Charles Worthman</w:t>
            </w:r>
            <w:r>
              <w:rPr>
                <w:rFonts w:ascii="Times New Roman" w:cs="Times New Roman" w:eastAsia="Times New Roman" w:hAnsi="Times New Roman"/>
                <w:sz w:val="29"/>
                <w:szCs w:val="29"/>
                <w:color w:val="auto"/>
                <w:vertAlign w:val="superscript"/>
              </w:rPr>
              <w:t>(6)</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3,734</w:t>
            </w:r>
          </w:p>
        </w:tc>
        <w:tc>
          <w:tcPr>
            <w:tcW w:w="17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2,951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9"/>
                <w:szCs w:val="29"/>
                <w:b w:val="1"/>
                <w:bCs w:val="1"/>
                <w:color w:val="auto"/>
                <w:vertAlign w:val="superscript"/>
              </w:rPr>
              <w:t>(7)</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5,192,335</w:t>
            </w:r>
          </w:p>
        </w:tc>
        <w:tc>
          <w:tcPr>
            <w:tcW w:w="17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24.54%</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3,211,671</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1,980,664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the outstanding shares of our common stock.</w:t>
      </w:r>
    </w:p>
    <w:p>
      <w:pPr>
        <w:spacing w:after="0" w:line="27" w:lineRule="exact"/>
        <w:rPr>
          <w:sz w:val="20"/>
          <w:szCs w:val="20"/>
          <w:color w:val="auto"/>
        </w:rPr>
      </w:pPr>
    </w:p>
    <w:p>
      <w:pPr>
        <w:jc w:val="both"/>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options are subject to a beneficial ownership limitation of 4.99%, which such limitation restricts the selling stockholder from exercising that portion of the options that would result in it and its affiliates owning, after exercise, a number of shares of common stock in excess of the beneficial ownership limitation. The amounts and percentages in the table do not give effect to the beneficial ownership limitations. The address of Armistice Capital and the Master Fund is c/o Armistice Capital, LLC, 510 Madison Avenue, 7th Floor, New York, NY 10022.</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Anson Advisors Inc and Anson Funds Management LP, the Co-Investment Advisers of Anson Investments Master Fund LP (“Anson”), hold voting and dispositive power over the common stock held by Anson. Tony Moore is the managing member of Anson Management GP LLC, which is the general partner of Anson Funds Management LP. Moez Kassam and Amin Nathoo are directors of Anson Advisors Inc. Mr. Moore, Mr. Kassam and Mr. Nathoo each disclaim beneficial ownership of these shares of common stock except to the extent of their pecuniary interest therein.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address of Anson is Maples Corporate Services Limited, PO Box 309, Ugland House, Grand Cayman, KY1-1104, Cayman Islands.</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shares of our common stock. Mitchell P. Kopin and Daniel B.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of the securities reported herein that are held by Intracoastal.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Intracoastal is 245 Palm Trail, Delray Beach, FL 33483.</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shares of our common stock. Heights Capital Management, Inc.,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S-1 of which this prospectus forms a part.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CVI is c/o Heights Capital Management, Inc., 101 California Street, Suite 3250, San Francisco, CA 94111.</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an affiliate of a registered broker-dealer.</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6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or options to purchase shares of common stock. Each of such selling stockholders is affiliated with H.C. Wainwright &amp; Co., LLC, a registered broker dealer with a registered address of c/o H.C. Wainwright &amp; Co., LLC, 430 Park Ave, 3rd Floor, New York, NY 10022, and has sole</w:t>
      </w:r>
    </w:p>
    <w:p>
      <w:pPr>
        <w:sectPr>
          <w:pgSz w:w="11900" w:h="16838" w:orient="portrait"/>
          <w:cols w:equalWidth="0" w:num="1">
            <w:col w:w="11240"/>
          </w:cols>
          <w:pgMar w:left="320" w:top="684" w:right="339" w:bottom="0" w:gutter="0" w:footer="0" w:header="0"/>
        </w:sectPr>
      </w:pPr>
    </w:p>
    <w:bookmarkStart w:id="72" w:name="page73"/>
    <w:bookmarkEnd w:id="72"/>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over the last three years.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Does not take into account any 4.99% beneficial ownership limitation that certain of the selling stockholders are subject to.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in connection with the transactions described above and elsewhere in this prospectus, we have not had any material relationships with the selling stockholders in the last three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ectPr>
          <w:pgSz w:w="11900" w:h="16838" w:orient="portrait"/>
          <w:cols w:equalWidth="0" w:num="1">
            <w:col w:w="11240"/>
          </w:cols>
          <w:pgMar w:left="320" w:top="684" w:right="339" w:bottom="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5" w:name="page76"/>
    <w:bookmarkEnd w:id="75"/>
    <w:p>
      <w:pPr>
        <w:spacing w:after="0" w:line="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authorized capital stock consists of 60,000,000 shares of common stock, par value $0.01, of which 15,965,633 shares were issued and outstanding as of June 17, 2024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we had:</w:t>
      </w:r>
    </w:p>
    <w:p>
      <w:pPr>
        <w:spacing w:after="0" w:line="225" w:lineRule="exact"/>
        <w:rPr>
          <w:sz w:val="20"/>
          <w:szCs w:val="20"/>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2,591,804 shares of our common stock issuable upon the exercise of outstanding stock options granted to employees, directors and consultants, with exercise prices ranging from approximately $0.005 to $15.75 and having a weighted-average exercise price of $4.62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35,404 shares of our common stock reserved for future grant under our 2020 Omnibus Performance Award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Preferred Investment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17, 2024, we had outstanding:</w:t>
      </w:r>
    </w:p>
    <w:p>
      <w:pPr>
        <w:spacing w:after="0" w:line="225" w:lineRule="exact"/>
        <w:rPr>
          <w:sz w:val="20"/>
          <w:szCs w:val="20"/>
          <w:color w:val="auto"/>
        </w:rPr>
      </w:pPr>
    </w:p>
    <w:p>
      <w:pPr>
        <w:ind w:left="660" w:hanging="328"/>
        <w:spacing w:after="0" w:line="261"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1,685,682 shares of our common stock issuable upon the exercise of outstanding series E preferred investment options expiring in July 2029, at an exercise price per share of $1.50;</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ind w:left="660" w:right="20" w:hanging="328"/>
        <w:spacing w:after="0" w:line="26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ectPr>
          <w:pgSz w:w="11900" w:h="16907" w:orient="portrait"/>
          <w:cols w:equalWidth="0" w:num="1">
            <w:col w:w="11240"/>
          </w:cols>
          <w:pgMar w:left="320" w:top="688" w:right="339" w:bottom="0" w:gutter="0" w:footer="0" w:header="0"/>
        </w:sectPr>
      </w:pPr>
    </w:p>
    <w:bookmarkStart w:id="76" w:name="page77"/>
    <w:bookmarkEnd w:id="76"/>
    <w:p>
      <w:pPr>
        <w:ind w:left="660" w:right="20" w:hanging="328"/>
        <w:spacing w:after="0" w:line="261"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 and</w:t>
      </w:r>
    </w:p>
    <w:p>
      <w:pPr>
        <w:ind w:left="660" w:hanging="328"/>
        <w:spacing w:after="0" w:line="26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common stock being registered pursuant to the Registration Statement on Form S-1 of which this prospectus forms a part, are underlying our 3,133,338 outstanding series F preferred investment options expiring in June 2026 and our 78,333 outstanding placement agent preferred investment options expiring in June 2026. See “Prospectus Summary-Recent Developments-Registered Direct Offering” above, for a summary of the terms of the series F preferred investment options and the placement agent preferred investment options.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our common stock are currently quoted on the Nasdaq Capital Market under the symbol “MBOT”.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of our common stock is Computershare Trust Company, N.A. Its address is 33 North LaSalle Street, Suite 1100, Chicago, IL 60602.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provisions for stockholder proposals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stockholder vote required for certain actions.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being offered by this prospectus will be passed upon for us by Ruskin Moscou Faltischek, PC, Uniondale,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2023 and 2022, and for each of the two years in the period ended December 31, 2023, included in this Prospectus, have been audited by Brightman Almagor Zohar &amp; Co., a Firm in the Deloitte Global Network, an independent registered public accounting firm, as stated in their report. Such consolidated financial statements are included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which constitutes a part of the Registration Statement on Form S-1 that we have filed with the SEC under the Securities Act, does not contain all of the information in the registration statement and its exhibits. For further information with respect to us and the common stock offered by this prospectus, you should refer to the registration statement and the exhibits filed as part of that document.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Securities Exchange Act of 1934, as amended, and file annual, quarterly and current reports, proxy statements and other information with the SEC. You can read our SEC filings, including the registration statement,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We also maintain a website at</w:t>
      </w:r>
      <w:r>
        <w:rPr>
          <w:rFonts w:ascii="Times New Roman" w:cs="Times New Roman" w:eastAsia="Times New Roman" w:hAnsi="Times New Roman"/>
          <w:sz w:val="18"/>
          <w:szCs w:val="18"/>
          <w:i w:val="1"/>
          <w:iCs w:val="1"/>
          <w:color w:val="auto"/>
        </w:rPr>
        <w:t xml:space="preserve"> http://www.microbotmedical.com</w:t>
      </w:r>
      <w:r>
        <w:rPr>
          <w:rFonts w:ascii="Times New Roman" w:cs="Times New Roman" w:eastAsia="Times New Roman" w:hAnsi="Times New Roman"/>
          <w:sz w:val="18"/>
          <w:szCs w:val="18"/>
          <w:color w:val="auto"/>
        </w:rPr>
        <w:t>, at which you may access these materials free of charge as soon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practicable after they are electronically filed with, or furnished to, the SEC. The information contained in, or that can be accessed through, our website is not part of this prospectus. You may also request a copy of these filings, at no cost, by writing or telephoning us at: 288 Grove Street, Suite 388, Braintree, MA 02184, (781) 875-3605.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40" w:type="dxa"/>
            <w:vAlign w:val="bottom"/>
            <w:gridSpan w:val="7"/>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980" w:type="dxa"/>
            <w:vAlign w:val="bottom"/>
          </w:tcPr>
          <w:p>
            <w:pPr>
              <w:spacing w:after="0"/>
              <w:rPr>
                <w:sz w:val="20"/>
                <w:szCs w:val="20"/>
                <w:color w:val="auto"/>
              </w:rPr>
            </w:pPr>
          </w:p>
        </w:tc>
      </w:tr>
      <w:tr>
        <w:trPr>
          <w:trHeight w:val="432"/>
        </w:trPr>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20" w:type="dxa"/>
            <w:vAlign w:val="bottom"/>
            <w:gridSpan w:val="8"/>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980" w:type="dxa"/>
            <w:vAlign w:val="bottom"/>
          </w:tcPr>
          <w:p>
            <w:pPr>
              <w:spacing w:after="0"/>
              <w:rPr>
                <w:sz w:val="24"/>
                <w:szCs w:val="24"/>
                <w:color w:val="auto"/>
              </w:rPr>
            </w:pPr>
          </w:p>
        </w:tc>
      </w:tr>
      <w:tr>
        <w:trPr>
          <w:trHeight w:val="439"/>
        </w:trPr>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1197)</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F-2 - F-3</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 for the years ended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F-8 - F-34</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Balance Sheets as of March 31, 2024 (Unaudited) and December 31, 2023 (Audited)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F-35</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Comprehensive Loss for the Three Months Ended March 31, 2024 and 2023 (Unaudited)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F-36</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Shareholders’ Equity for the Three Months Ended March 31, 2024 and 2023 (Unaudited)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F-37</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Cash Flows for the Three Months Ended March 31, 2024 and 2023 (Unaudited)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F-38</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Interim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F-39 - F-47</w:t>
            </w:r>
          </w:p>
        </w:tc>
      </w:tr>
      <w:tr>
        <w:trPr>
          <w:trHeight w:val="439"/>
        </w:trPr>
        <w:tc>
          <w:tcPr>
            <w:tcW w:w="34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5560" w:type="dxa"/>
            <w:vAlign w:val="bottom"/>
            <w:tcBorders>
              <w:top w:val="single" w:sz="8" w:color="CCEEFF"/>
              <w:bottom w:val="single" w:sz="8" w:color="auto"/>
            </w:tcBorders>
            <w:gridSpan w:val="6"/>
          </w:tcPr>
          <w:p>
            <w:pPr>
              <w:jc w:val="center"/>
              <w:ind w:right="3720"/>
              <w:spacing w:after="0"/>
              <w:rPr>
                <w:sz w:val="20"/>
                <w:szCs w:val="20"/>
                <w:color w:val="auto"/>
              </w:rPr>
            </w:pPr>
            <w:r>
              <w:rPr>
                <w:rFonts w:ascii="Times New Roman" w:cs="Times New Roman" w:eastAsia="Times New Roman" w:hAnsi="Times New Roman"/>
                <w:sz w:val="18"/>
                <w:szCs w:val="18"/>
                <w:color w:val="auto"/>
                <w:w w:val="95"/>
              </w:rPr>
              <w:t>F-1</w:t>
            </w:r>
          </w:p>
        </w:tc>
        <w:tc>
          <w:tcPr>
            <w:tcW w:w="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1" w:name="page82"/>
    <w:bookmarkEnd w:id="81"/>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057400" cy="4540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2057400"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Microbot Medical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Microbot Medical Inc. and its subsidiary (the “Company”) as of December 31, 2023 and 2022, and the related consolidated statements of comprehensive loss, shareholders’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1B to the financial statements, the Company’s financial statements include a net loss of $ 10,740 thousand for the year ended December 31, 2023 and accumulated deficit of $ 79,501 thousand as of December 31, 2023. The Company is dependent on its ability to obtain additional debt and/or equity in order to continue its operations. These conditions raise substantial doubt about its ability to continue as a going concern. The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057400" cy="4540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2057400"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Contingencies - Settlement of litigation resulting from the 2017 financing - Refer to Notes 9G and 16C to the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Audit Matter Description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26, 2024, the Company entered into a settlement agreement and release with third parties, effectively resolving a lawsuit brought against the Company in 2020. The lawsuit stemmed from securities purchase agreements made between the Company and the third parties in 2017. The settlement amount consisted of a cash payment and shares of restricted common stock.</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concluded that the settlement agreement gave rise to loss contingency in the scope of Accounting Standards Codification Subtopic 450-20, Contingencies - Loss Contingencies, and as of December 31, 2023, the Company recorded a contingent liability.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settlement amount was recorded in the Company’s consolidated financial statements as non-operating loss, offset by loss recovery received from the Company’s insurance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significant judgments made by management with respect to the contingent liability arising from the settlement agreement and the loss recovery received from the Company’s insurance company, performing audit procedures to evaluate the reasonableness of management’s assumptions and conclusions concerning the recognition and measurement of the contingent liability and the insurance recovery receivables, required a high degree of auditor judgment and an increased extent of effort.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the Critical Audit Matter Was Addressed in the Audit</w:t>
      </w:r>
    </w:p>
    <w:p>
      <w:pPr>
        <w:spacing w:after="0" w:line="225" w:lineRule="exact"/>
        <w:rPr>
          <w:sz w:val="20"/>
          <w:szCs w:val="20"/>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the settlement agreement, agreement with the Company’s insurance company, and other supporting documentation, followed by inquiries with the Company’s external counsel and general counsel regarding the details of the agreements.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technical accounting specialists, we evaluated the management’s assessment and conclusion with regards to the accounting treatment of the settlement agreement and loss recovery received from the Company’s insurance company. Our procedures included evaluating the Company’s accounting memorandum and inquires with the management with regard to judgements made.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calculation of the contingent liability.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the disclosures in the financial statements pertinent to the settlement agreement and loss recovery received from the Company’s insurance company by comparing management’s disclosures to audit evidence obtained.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Brightman Almagor Zohar &amp; Co.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16198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4924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8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2,468</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2,442</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3,917</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5,760</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198"/>
        </w:trPr>
        <w:tc>
          <w:tcPr>
            <w:tcW w:w="5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Insurance recovery receivable related to legal settlement and legal</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16C</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1,335</w:t>
            </w:r>
          </w:p>
        </w:tc>
        <w:tc>
          <w:tcPr>
            <w:tcW w:w="6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w:t>
            </w:r>
          </w:p>
        </w:tc>
        <w:tc>
          <w:tcPr>
            <w:tcW w:w="6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58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23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260</w:t>
            </w:r>
          </w:p>
        </w:tc>
        <w:tc>
          <w:tcPr>
            <w:tcW w:w="6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r>
      <w:tr>
        <w:trPr>
          <w:trHeight w:val="229"/>
        </w:trPr>
        <w:tc>
          <w:tcPr>
            <w:tcW w:w="5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payables</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357</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accrual</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16C</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2,211</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1,027</w:t>
            </w:r>
          </w:p>
        </w:tc>
        <w:tc>
          <w:tcPr>
            <w:tcW w:w="6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w:t>
            </w:r>
          </w:p>
        </w:tc>
      </w:tr>
      <w:tr>
        <w:trPr>
          <w:trHeight w:val="216"/>
        </w:trPr>
        <w:tc>
          <w:tcPr>
            <w:tcW w:w="58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6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5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as  of</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 and 2022; 11,707,317 and 7,890,628 shares issued and</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6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83,884</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75,970</w:t>
            </w:r>
          </w:p>
        </w:tc>
      </w:tr>
      <w:tr>
        <w:trPr>
          <w:trHeight w:val="24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(79,501)</w:t>
            </w:r>
          </w:p>
        </w:tc>
        <w:tc>
          <w:tcPr>
            <w:tcW w:w="6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(68,761)</w:t>
            </w:r>
          </w:p>
        </w:tc>
      </w:tr>
      <w:tr>
        <w:trPr>
          <w:trHeight w:val="210"/>
        </w:trPr>
        <w:tc>
          <w:tcPr>
            <w:tcW w:w="586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shareholders’ equity</w:t>
            </w:r>
          </w:p>
        </w:tc>
        <w:tc>
          <w:tcPr>
            <w:tcW w:w="11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4,501</w:t>
            </w:r>
          </w:p>
        </w:tc>
        <w:tc>
          <w:tcPr>
            <w:tcW w:w="320" w:type="dxa"/>
            <w:vAlign w:val="bottom"/>
            <w:tcBorders>
              <w:top w:val="single" w:sz="8" w:color="CCEEFF"/>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5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3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06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940" w:type="dxa"/>
            <w:vAlign w:val="bottom"/>
            <w:gridSpan w:val="2"/>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100" w:type="dxa"/>
            <w:vAlign w:val="bottom"/>
            <w:shd w:val="clear" w:color="auto" w:fill="CCEEFF"/>
          </w:tcPr>
          <w:p>
            <w:pPr>
              <w:spacing w:after="0"/>
              <w:rPr>
                <w:sz w:val="18"/>
                <w:szCs w:val="18"/>
                <w:color w:val="auto"/>
              </w:rPr>
            </w:pPr>
          </w:p>
        </w:tc>
      </w:tr>
      <w:tr>
        <w:trPr>
          <w:trHeight w:val="23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net</w:t>
            </w:r>
          </w:p>
        </w:tc>
        <w:tc>
          <w:tcPr>
            <w:tcW w:w="194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(4,131)</w:t>
            </w:r>
          </w:p>
        </w:tc>
        <w:tc>
          <w:tcPr>
            <w:tcW w:w="6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(5,545)</w:t>
            </w:r>
          </w:p>
        </w:tc>
      </w:tr>
      <w:tr>
        <w:trPr>
          <w:trHeight w:val="216"/>
        </w:trPr>
        <w:tc>
          <w:tcPr>
            <w:tcW w:w="50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8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228</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legal settlement, net</w:t>
            </w:r>
          </w:p>
        </w:tc>
        <w:tc>
          <w:tcPr>
            <w:tcW w:w="8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16C</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(1,111)</w:t>
            </w:r>
          </w:p>
        </w:tc>
        <w:tc>
          <w:tcPr>
            <w:tcW w:w="6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Borders>
              <w:top w:val="single" w:sz="8" w:color="CCEEFF"/>
              <w:bottom w:val="single" w:sz="8" w:color="CCEEFF"/>
            </w:tcBorders>
          </w:tcPr>
          <w:p>
            <w:pPr>
              <w:spacing w:after="0"/>
              <w:rPr>
                <w:sz w:val="22"/>
                <w:szCs w:val="22"/>
                <w:color w:val="auto"/>
              </w:rPr>
            </w:pPr>
          </w:p>
        </w:tc>
        <w:tc>
          <w:tcPr>
            <w:tcW w:w="114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CCEEFF"/>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0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(1.05)</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196"/>
        </w:trPr>
        <w:tc>
          <w:tcPr>
            <w:tcW w:w="50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10,199,984</w:t>
            </w:r>
          </w:p>
        </w:tc>
        <w:tc>
          <w:tcPr>
            <w:tcW w:w="680" w:type="dxa"/>
            <w:vAlign w:val="bottom"/>
          </w:tcPr>
          <w:p>
            <w:pPr>
              <w:spacing w:after="0"/>
              <w:rPr>
                <w:sz w:val="21"/>
                <w:szCs w:val="21"/>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7,260,344</w:t>
            </w:r>
          </w:p>
        </w:tc>
      </w:tr>
      <w:tr>
        <w:trPr>
          <w:trHeight w:val="20"/>
        </w:trPr>
        <w:tc>
          <w:tcPr>
            <w:tcW w:w="58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340" w:type="dxa"/>
            <w:vAlign w:val="bottom"/>
            <w:gridSpan w:val="7"/>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The accompanying notes are an integral part of these consolidated financial statements.</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0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right="730"/>
              <w:spacing w:after="0"/>
              <w:rPr>
                <w:sz w:val="20"/>
                <w:szCs w:val="20"/>
                <w:color w:val="auto"/>
              </w:rPr>
            </w:pPr>
            <w:r>
              <w:rPr>
                <w:rFonts w:ascii="Times New Roman" w:cs="Times New Roman" w:eastAsia="Times New Roman" w:hAnsi="Times New Roman"/>
                <w:sz w:val="18"/>
                <w:szCs w:val="18"/>
                <w:color w:val="auto"/>
                <w:w w:val="95"/>
              </w:rPr>
              <w:t>F-5</w:t>
            </w: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9"/>
        </w:trPr>
        <w:tc>
          <w:tcPr>
            <w:tcW w:w="4180" w:type="dxa"/>
            <w:vAlign w:val="bottom"/>
          </w:tcPr>
          <w:p>
            <w:pPr>
              <w:spacing w:after="0"/>
              <w:rPr>
                <w:sz w:val="22"/>
                <w:szCs w:val="22"/>
                <w:color w:val="auto"/>
              </w:rPr>
            </w:pPr>
          </w:p>
        </w:tc>
        <w:tc>
          <w:tcPr>
            <w:tcW w:w="280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7"/>
        </w:trPr>
        <w:tc>
          <w:tcPr>
            <w:tcW w:w="4180" w:type="dxa"/>
            <w:vAlign w:val="bottom"/>
          </w:tcPr>
          <w:p>
            <w:pPr>
              <w:spacing w:after="0"/>
              <w:rPr>
                <w:sz w:val="20"/>
                <w:szCs w:val="20"/>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20"/>
                <w:szCs w:val="20"/>
                <w:color w:val="auto"/>
              </w:rPr>
            </w:pPr>
          </w:p>
        </w:tc>
        <w:tc>
          <w:tcPr>
            <w:tcW w:w="124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2021</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7,108,133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69,902</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(55,593)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14,381</w:t>
            </w: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782,495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4,316</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4,324</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1,752</w:t>
            </w:r>
          </w:p>
        </w:tc>
      </w:tr>
      <w:tr>
        <w:trPr>
          <w:trHeight w:val="23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(13,168)</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(13,168)</w:t>
            </w:r>
          </w:p>
        </w:tc>
      </w:tr>
      <w:tr>
        <w:trPr>
          <w:trHeight w:val="216"/>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7,890,628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75,970</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(68,761)</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3,816,689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6,520</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6,558</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1,394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1,394</w:t>
            </w:r>
          </w:p>
        </w:tc>
      </w:tr>
      <w:tr>
        <w:trPr>
          <w:trHeight w:val="237"/>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(10,740)</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(10,740)</w:t>
            </w:r>
          </w:p>
        </w:tc>
      </w:tr>
      <w:tr>
        <w:trPr>
          <w:trHeight w:val="229"/>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11,707,317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580" w:firstLine="8"/>
        <w:spacing w:after="0" w:line="312" w:lineRule="auto"/>
        <w:tabs>
          <w:tab w:leader="none" w:pos="324"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of issuance costs in the amount of $676. (**) Net of issuance costs in the amount of $1,075.</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2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20" w:type="dxa"/>
            <w:vAlign w:val="bottom"/>
            <w:gridSpan w:val="2"/>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(10,740)</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(13,168)</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legal settlement</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2,211</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related to legal settlement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(1,335)</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(160)</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1,394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672</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(683)</w:t>
            </w:r>
          </w:p>
        </w:tc>
        <w:tc>
          <w:tcPr>
            <w:tcW w:w="38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6"/>
        </w:trPr>
        <w:tc>
          <w:tcPr>
            <w:tcW w:w="6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6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Investing activities:</w:t>
            </w: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9,164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(10,060)</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(3,749)</w:t>
            </w:r>
          </w:p>
        </w:tc>
        <w:tc>
          <w:tcPr>
            <w:tcW w:w="0" w:type="dxa"/>
            <w:vAlign w:val="bottom"/>
          </w:tcPr>
          <w:p>
            <w:pPr>
              <w:spacing w:after="0"/>
              <w:rPr>
                <w:sz w:val="1"/>
                <w:szCs w:val="1"/>
                <w:color w:val="auto"/>
              </w:rPr>
            </w:pPr>
          </w:p>
        </w:tc>
      </w:tr>
      <w:tr>
        <w:trPr>
          <w:trHeight w:val="24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9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2,899</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94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1,973</w:t>
            </w:r>
          </w:p>
        </w:tc>
        <w:tc>
          <w:tcPr>
            <w:tcW w:w="2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(3,836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6,558</w:t>
            </w:r>
          </w:p>
        </w:tc>
        <w:tc>
          <w:tcPr>
            <w:tcW w:w="3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(11,061)</w:t>
            </w:r>
          </w:p>
        </w:tc>
        <w:tc>
          <w:tcPr>
            <w:tcW w:w="0" w:type="dxa"/>
            <w:vAlign w:val="bottom"/>
          </w:tcPr>
          <w:p>
            <w:pPr>
              <w:spacing w:after="0"/>
              <w:rPr>
                <w:sz w:val="1"/>
                <w:szCs w:val="1"/>
                <w:color w:val="auto"/>
              </w:rPr>
            </w:pPr>
          </w:p>
        </w:tc>
      </w:tr>
      <w:tr>
        <w:trPr>
          <w:trHeight w:val="23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2,519</w:t>
            </w:r>
          </w:p>
        </w:tc>
        <w:tc>
          <w:tcPr>
            <w:tcW w:w="3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ending of year</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2020" w:type="dxa"/>
            <w:vAlign w:val="bottom"/>
            <w:gridSpan w:val="2"/>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940" w:type="dxa"/>
            <w:vAlign w:val="bottom"/>
            <w:tcBorders>
              <w:top w:val="single" w:sz="8" w:color="CCEEFF"/>
              <w:bottom w:val="single" w:sz="8" w:color="CCEEFF"/>
            </w:tcBorders>
            <w:vMerge w:val="restart"/>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8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2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December 31, 2023, the Company had cash equivalents and marketable securities balance of approximately $6,385, excluding restricted cash. Due to continuing research and development activities, the Company expects to continue to incur additional losses for the foreseeable future. The Company implemented a cost reduction program in May 2023, and consummated capital raises in May and June 2023 and in January 2024.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Accordingly, these conditions raise substantial doubt about the Company’s ability to continue as a going concern.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War in Israel</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operations are primarily based, suffered a surprise attack by hostile forces from Gaza, which led to the declaration by Israel of the “Iron Swords” military operation. This military operation and related activities are on-going as of the issuance date of these financial statements.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1620" w:hanging="640"/>
        <w:spacing w:after="0" w:line="282"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affect its anticipated milestones and its Israel-based activities to support future clinical and regulatory milestones, including the Company’s ability to import materials that are required to construct the Company’s devices and to ship them outside of Israel. As of the issuance date of these financial statements,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Basis of presentation: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in conformity with accounting principles generally accepted in the United States of America (“US GAAP”).</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Financial statement in U.S. dollars: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Transactions and balances denominated in dollars are presented at their original amounts. Transactions and balances denominated in foreign currencies have been re-measured to dollars in accordance with the provisions of Accounting Standards Codification (“ASC”) 830-10, “Foreign Currency Translation”.</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All transaction gains and losses from re-measurement of monetary balance sheet items denominated in non-dollar currencies are reflected in the statements of comprehensive loss as financial income or expenses, as appropriate.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Use of estimates: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Principles of consolidation: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subsidiary. Inter-company balances and transactions have been eliminated in consolidation.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Reclassification of prior year disclosures:</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disclosures. These reclassifications had no effect on the reported consolidated balance sheets, the related consolidated statements of comprehensive loss, shareholders’ equity and cash flows.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 Acquisitions of assets:</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definition of a business. Significant judgment is required in the application of the screen test to determine whether an acquisition is accounted for as business combination or an acquisition of assets.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 Cash and cash equivalents: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demand deposits in banks, and other short-term liquid investments (primarily interest-bearing time deposits) with original maturities of three months or less at the date of purchase.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H. Restricted cash:</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Restricted cash of $49 as of December 31, 2023, serves as collateral for the Company’s lease agreement, and $77 as of December 31, 2022, serves as collateral for lease agreements and credit cards.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I. Fair value of financial instruments: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(such as marketable securities) on a recurring basis. The method of determining the fair value of marketable securities is discussed in Note 4 below.</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jc w:val="both"/>
        <w:ind w:left="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J. Concentrations of credit risk:</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credit risk consist primarily of cash and cash equivalents and marketable securities. The Company holds these investments in highly 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K. Property and equipment:</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Property and equipment are presented at cost less accumulated depreciation. Depreciation is calculated based on the straight-line method over the estimated useful lives of the assets, at the following annual rates:</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6480" w:type="dxa"/>
            <w:vAlign w:val="bottom"/>
          </w:tcPr>
          <w:p>
            <w:pPr>
              <w:spacing w:after="0"/>
              <w:rPr>
                <w:sz w:val="21"/>
                <w:szCs w:val="21"/>
                <w:color w:val="auto"/>
              </w:rPr>
            </w:pPr>
          </w:p>
        </w:tc>
        <w:tc>
          <w:tcPr>
            <w:tcW w:w="24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r>
      <w:tr>
        <w:trPr>
          <w:trHeight w:val="216"/>
        </w:trPr>
        <w:tc>
          <w:tcPr>
            <w:tcW w:w="6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24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25-33</w:t>
            </w:r>
          </w:p>
        </w:tc>
        <w:tc>
          <w:tcPr>
            <w:tcW w:w="8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4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5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Over the lease period</w:t>
            </w:r>
          </w:p>
        </w:tc>
      </w:tr>
    </w:tbl>
    <w:p>
      <w:pPr>
        <w:spacing w:after="0" w:line="198"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assesses property and equipment impairment whenever events or changes in circumstances indicate that the carrying amount of the asset may not be recoverable. If such circumstances are determined to exist, an estimate of undiscounted future cash flows produced by the property and equipment assets, or the appropriate grouping of assets, is compared to the carrying value to determine whether impairment exists. If an asset is determined to be impaired, the loss is measured based on the difference between the asset’s estimated fair value and its carrying value. For property and equipment assets, the estimate of fair value is typically based on a discounted cash flow model. As of December 31, 2023, and 2022, no impairment charge has been recorded.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L. Liabilities due to termination of employment agreements: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 Payments in accordance with Article 14 release Microbot Israel from any future severance payments (under the Israeli Severance Compensation Act, 1963) with respect of those employees. The aforementioned deposits are not recorded as an asset in the Company’s balance sheets.</w:t>
      </w:r>
    </w:p>
    <w:p>
      <w:pPr>
        <w:spacing w:after="0" w:line="183"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for the U.S. employees, the Company has certain defined contribution plans, including a 401(k)-retirement plan in the U.S., whereby contributions made by eligible employees are matched by the Company with certain limitations.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 Common stock warrants: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issued to investors as either equity-classified or liability-classified instruments, based on an assessment of the warrant’s specific terms and the applicable authoritative guidance in FASB ASC 480 and FASB ASC 815, “Derivatives and Hedging” (“ASC 815”). The assessment considers whether the warrants are freestanding financial instruments pursuant to ASC 480, meet the definition of a liability pursuant to ASC 480, or meet all of the requirements for equity classification under FASB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 Basic and diluted net loss per share:</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common stock shareholders by the weighted average number of shares of common stock outstanding during the year without consideration of potentially dilutive securities. For purposes of the diluted net loss per share attributable to common shareholders calculation, stock options and warrants are considered to be common stock equivalents. All common stock equivalents have been excluded from the calculation of the diluted loss per share for the years ended December 31, 2023 and December 31, 2022, as their effect would be anti-dilutive. Therefore, basic and diluted net loss per share were the same for both years presented. In the calculation of the basic and diluted net loss, the Company included warrants that would be exercised for no or little consideration and are exercisable with no contingencies.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O. General and administrative expenses, net:</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are charged to the statement of comprehensive loss as incurred. Insurance loss recoveries are recognized when the amount is determinable and approved by the insurance company and applied as a deduction from general and administrative expenses. General and administrative expenses, net, for the years ended December 31, 2023 and 2022, were offset by insurance loss recoveries in the amounts of approximately $281 and $156, respectively.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 Research and development expenses, net: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charged to the statement of comprehensive loss as incurred. Grants for funding of approved research and development projects and others are recognized at the time the Company is entitled to such grants, on the basis of the costs incurred and applied as a deduction from the research and development expenses. See Note 2V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434"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Q. Share-based compensation:</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expected stock option term is calculated for stock options granted using the “simplified” method. Changes in the determination of each of the inputs can affect the fair value of the stock options granted and the results of operations of the Company.</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 Income taxes: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2023, and 2022, the Company had a full valuation allowance against deferred tax assets.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 Marketable securities:</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invests in various debt securities and an equity security. Debt securities consist of U.S. treasury securities. Equity security consist of a mutual fund. The Company records these investments in the consolidated balance sheet at fair value. For all of the Company’s debt securities, the Company elected the fair value option and thus all unrealized gains or losses for these securities are reflected in the statements of comprehensive loss as financial income or expenses, as appropriate. Unrealized gains or losses for the equity security are reflected in the statements of comprehensive loss as financial income or expenses, as appropriate. The Company classifies its investments as current based on the nature of the investments and their availability for use in current operations.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 Leases: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assets are presented as operating lease long-term right-of-use assets (“ROU”), and corresponding as lease liabilities (current portion), and as operating long-term lease liabilities, on the Company’s consolidated balance sheets.</w:t>
      </w:r>
    </w:p>
    <w:p>
      <w:pPr>
        <w:spacing w:after="0" w:line="176"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recognized based on the present value of the remaining lease payments over the lease term at commencement date. The Company’s leases do not provide an implicit interest rate. The Company calculates the incremental borrowing rate to reflect the interest rate that it would have to pay to borrow on a collateralized basis an amount equal to the lease payments in a similar economic environment over a similar term and considers the Company’s historical borrowing activities and market data in this determination. The operating lease ROU asset also includes any lease payments made and excludes lease incentives and initial direct costs incurred. The Company’s lease terms may include options to extend or terminate the lease when it is reasonably certain that it will exercise that option. Lease expense for minimum lease payments is recognized on a straight-line basis over the lease term.</w:t>
      </w:r>
    </w:p>
    <w:p>
      <w:pPr>
        <w:spacing w:after="0" w:line="18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which it accounts for as a single lease component. The Company has elected not to recognize ROU assets and lease liabilities for short-term leases that have a term of 12 months or less. The effect of short-term leases on the Company’s ROU assets and lease liabilities was not material. The Company’s lease agreements do not contain any material residual value guarantees or material restrictive covenants. In addition, the Company does not have any related party leases.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U. Contingencies: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 Refer to Note 16C below.</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 Refer to Note 2O above and Note 16C below.</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Government grants: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Government grants which are received from the Israeli Ministry of Economy and Israel Innovation Authority (“IIA”) by way of participation in research and development that is conducted by Microbot Israel, are received in installments as the program progresses based on qualified research spending. Grants received are recognized when the grant becomes receivable, provided there was reasonable assurance that Microbot Israel will comply with the conditions attached to the grant and there was reasonable assurance the grant will be received.</w:t>
      </w:r>
    </w:p>
    <w:p>
      <w:pPr>
        <w:spacing w:after="0" w:line="18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grants are deducted from the research and development expenses as the applicable costs are incurred. Research and development expenses, net, for the years ended December 31, 2023 and 2022, include participation in research and development expenses in the amount of approximately $279 and $0, respectively.</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 Recently issued accounting pronouncements: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FASB, or other standard-setting bodies and adopted by the Company as of the specified effective date. Unless otherwise discussed, the impact of recently issued standards that are not yet effective will not have a material impact on our financial position or results of operations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CASH AND CASH EQUIVALENTS AND MARKETABLE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marketable securities as of December 31, 2023 and 2022:</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5580" w:type="dxa"/>
            <w:vAlign w:val="bottom"/>
          </w:tcPr>
          <w:p>
            <w:pPr>
              <w:spacing w:after="0"/>
              <w:rPr>
                <w:sz w:val="21"/>
                <w:szCs w:val="21"/>
                <w:color w:val="auto"/>
              </w:rPr>
            </w:pPr>
          </w:p>
        </w:tc>
        <w:tc>
          <w:tcPr>
            <w:tcW w:w="282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5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2,468</w:t>
            </w:r>
          </w:p>
        </w:tc>
        <w:tc>
          <w:tcPr>
            <w:tcW w:w="1020" w:type="dxa"/>
            <w:vAlign w:val="bottom"/>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1,195</w:t>
            </w:r>
          </w:p>
        </w:tc>
      </w:tr>
      <w:tr>
        <w:trPr>
          <w:trHeight w:val="24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1,247</w:t>
            </w:r>
          </w:p>
        </w:tc>
      </w:tr>
      <w:tr>
        <w:trPr>
          <w:trHeight w:val="257"/>
        </w:trPr>
        <w:tc>
          <w:tcPr>
            <w:tcW w:w="55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60" w:type="dxa"/>
            <w:vAlign w:val="bottom"/>
            <w:tcBorders>
              <w:top w:val="single" w:sz="8" w:color="CCEEFF"/>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80" w:type="dxa"/>
            <w:vAlign w:val="bottom"/>
            <w:tcBorders>
              <w:top w:val="single" w:sz="8" w:color="CCEEFF"/>
              <w:bottom w:val="single" w:sz="8" w:color="CCEEFF"/>
            </w:tcBorders>
          </w:tcPr>
          <w:p>
            <w:pPr>
              <w:spacing w:after="0"/>
              <w:rPr>
                <w:sz w:val="22"/>
                <w:szCs w:val="22"/>
                <w:color w:val="auto"/>
              </w:rPr>
            </w:pPr>
          </w:p>
        </w:tc>
      </w:tr>
      <w:tr>
        <w:trPr>
          <w:trHeight w:val="196"/>
        </w:trPr>
        <w:tc>
          <w:tcPr>
            <w:tcW w:w="5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1,420</w:t>
            </w:r>
          </w:p>
        </w:tc>
        <w:tc>
          <w:tcPr>
            <w:tcW w:w="102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1,999</w:t>
            </w: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2,497</w:t>
            </w:r>
          </w:p>
        </w:tc>
        <w:tc>
          <w:tcPr>
            <w:tcW w:w="102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3,761</w:t>
            </w:r>
          </w:p>
        </w:tc>
      </w:tr>
      <w:tr>
        <w:trPr>
          <w:trHeight w:val="229"/>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6,385</w:t>
            </w:r>
          </w:p>
        </w:tc>
        <w:tc>
          <w:tcPr>
            <w:tcW w:w="102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8,202</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unrealized gains on our marketable securities were $59 and $12 for the years ended December 31, 2023 and 2022, respectively.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Treasuries have contractual maturities of less than 12 months.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subject to fair value measurement and the level of inputs used in such measurements as of December 31, 2023 and 2022:</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2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2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gridSpan w:val="2"/>
          </w:tcPr>
          <w:p>
            <w:pPr>
              <w:spacing w:after="0"/>
              <w:rPr>
                <w:sz w:val="20"/>
                <w:szCs w:val="20"/>
                <w:color w:val="auto"/>
              </w:rPr>
            </w:pPr>
          </w:p>
        </w:tc>
      </w:tr>
      <w:tr>
        <w:trPr>
          <w:trHeight w:val="216"/>
        </w:trPr>
        <w:tc>
          <w:tcPr>
            <w:tcW w:w="2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2,497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2,497</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5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1,420</w:t>
            </w:r>
          </w:p>
        </w:tc>
        <w:tc>
          <w:tcPr>
            <w:tcW w:w="9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16"/>
        </w:trPr>
        <w:tc>
          <w:tcPr>
            <w:tcW w:w="29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3"/>
              </w:rPr>
              <w:t>3,917</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6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2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2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r>
      <w:tr>
        <w:trPr>
          <w:trHeight w:val="216"/>
        </w:trPr>
        <w:tc>
          <w:tcPr>
            <w:tcW w:w="2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1,247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1,247</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9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3,761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3,761</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1,999</w:t>
            </w:r>
          </w:p>
        </w:tc>
        <w:tc>
          <w:tcPr>
            <w:tcW w:w="92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3"/>
              </w:rPr>
              <w:t>5,760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December 31,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PREPAID EXPENSES AND OTHER CURRENT ASSETS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86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20"/>
                <w:szCs w:val="20"/>
                <w:color w:val="auto"/>
              </w:rPr>
            </w:pPr>
          </w:p>
        </w:tc>
        <w:tc>
          <w:tcPr>
            <w:tcW w:w="1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government institutions</w:t>
            </w:r>
          </w:p>
        </w:tc>
        <w:tc>
          <w:tcPr>
            <w:tcW w:w="2980" w:type="dxa"/>
            <w:vAlign w:val="bottom"/>
            <w:gridSpan w:val="2"/>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340" w:type="dxa"/>
            <w:vAlign w:val="bottom"/>
            <w:gridSpan w:val="2"/>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19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1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2"/>
          </w:tcPr>
          <w:p>
            <w:pPr>
              <w:jc w:val="right"/>
              <w:ind w:right="1932"/>
              <w:spacing w:after="0"/>
              <w:rPr>
                <w:sz w:val="20"/>
                <w:szCs w:val="20"/>
                <w:color w:val="auto"/>
              </w:rPr>
            </w:pPr>
            <w:r>
              <w:rPr>
                <w:rFonts w:ascii="Times New Roman" w:cs="Times New Roman" w:eastAsia="Times New Roman" w:hAnsi="Times New Roman"/>
                <w:sz w:val="18"/>
                <w:szCs w:val="18"/>
                <w:color w:val="auto"/>
              </w:rPr>
              <w:t>F-15</w:t>
            </w: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In November 2019, the Company signed an office space lease agreement for the period from November 2019 until October 2024. In addition, the Company received an option to extend the lease agreement for an additional 5 years. The monthly lease payments are approximately $16. To secure the lease payments the Company had issued a bank guarantee of $49 in favor of the facility’s lessor. Additionally, the Company entered into agreements for car leases.</w:t>
      </w:r>
    </w:p>
    <w:p>
      <w:pPr>
        <w:spacing w:after="0" w:line="180"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components of the Company’s lease cost and the classification of such costs in the Company’s consolidated statements of comprehensive loss for the years ended December 31, 2023 and 2022:</w:t>
      </w:r>
    </w:p>
    <w:tbl>
      <w:tblPr>
        <w:tblLayout w:type="fixed"/>
        <w:tblInd w:w="980" w:type="dxa"/>
        <w:tblCellMar>
          <w:top w:w="0" w:type="dxa"/>
          <w:left w:w="0" w:type="dxa"/>
          <w:bottom w:w="0" w:type="dxa"/>
          <w:right w:w="0" w:type="dxa"/>
        </w:tblCellMar>
      </w:tblPr>
      <w:tr>
        <w:trPr>
          <w:trHeight w:val="237"/>
        </w:trPr>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Statements of Comprehensive Loss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0" w:type="dxa"/>
            <w:vAlign w:val="bottom"/>
            <w:gridSpan w:val="8"/>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180"/>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Component of Lease Cost</w:t>
            </w:r>
          </w:p>
        </w:tc>
        <w:tc>
          <w:tcPr>
            <w:tcW w:w="200" w:type="dxa"/>
            <w:vAlign w:val="bottom"/>
            <w:tcBorders>
              <w:bottom w:val="single" w:sz="8" w:color="CCEEFF"/>
            </w:tcBorders>
          </w:tcPr>
          <w:p>
            <w:pPr>
              <w:spacing w:after="0"/>
              <w:rPr>
                <w:sz w:val="21"/>
                <w:szCs w:val="21"/>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Line Item</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shd w:val="clear" w:color="auto" w:fill="CCEEFF"/>
          </w:tcPr>
          <w:p>
            <w:pPr>
              <w:spacing w:after="0"/>
              <w:rPr>
                <w:sz w:val="21"/>
                <w:szCs w:val="21"/>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w:t>
            </w: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w:t>
            </w: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7"/>
        </w:trPr>
        <w:tc>
          <w:tcPr>
            <w:tcW w:w="30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under operating lease agreements</w:t>
            </w:r>
          </w:p>
        </w:tc>
        <w:tc>
          <w:tcPr>
            <w:tcW w:w="30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344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Undiscounted maturities of future operating lease payments as of December 31, 2023 are summarized as follows: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8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r>
      <w:tr>
        <w:trPr>
          <w:trHeight w:val="245"/>
        </w:trPr>
        <w:tc>
          <w:tcPr>
            <w:tcW w:w="8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r>
      <w:tr>
        <w:trPr>
          <w:trHeight w:val="24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1"/>
                <w:szCs w:val="21"/>
                <w:color w:val="auto"/>
              </w:rPr>
            </w:pPr>
          </w:p>
        </w:tc>
      </w:tr>
      <w:tr>
        <w:trPr>
          <w:trHeight w:val="203"/>
        </w:trPr>
        <w:tc>
          <w:tcPr>
            <w:tcW w:w="82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future lease payments</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7"/>
        </w:trPr>
        <w:tc>
          <w:tcPr>
            <w:tcW w:w="8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includes the weighted-average lease terms and discount rates for operating leases as of December 31, 2023 and 2022:</w:t>
      </w:r>
    </w:p>
    <w:p>
      <w:pPr>
        <w:spacing w:after="0" w:line="235"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8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weighted average remaining lease term (in years)</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0.8</w:t>
            </w:r>
          </w:p>
        </w:tc>
        <w:tc>
          <w:tcPr>
            <w:tcW w:w="186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 weighted average discount rate</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8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w w:val="91"/>
              </w:rPr>
              <w:t>9%</w:t>
            </w:r>
          </w:p>
        </w:tc>
        <w:tc>
          <w:tcPr>
            <w:tcW w:w="220" w:type="dxa"/>
            <w:vAlign w:val="bottom"/>
          </w:tcPr>
          <w:p>
            <w:pPr>
              <w:spacing w:after="0"/>
              <w:rPr>
                <w:sz w:val="20"/>
                <w:szCs w:val="20"/>
                <w:color w:val="auto"/>
              </w:rPr>
            </w:pPr>
          </w:p>
        </w:tc>
      </w:tr>
      <w:tr>
        <w:trPr>
          <w:trHeight w:val="421"/>
        </w:trPr>
        <w:tc>
          <w:tcPr>
            <w:tcW w:w="98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gridSpan w:val="2"/>
          </w:tcPr>
          <w:p>
            <w:pPr>
              <w:ind w:left="4480"/>
              <w:spacing w:after="0"/>
              <w:rPr>
                <w:sz w:val="20"/>
                <w:szCs w:val="20"/>
                <w:color w:val="auto"/>
              </w:rPr>
            </w:pPr>
            <w:r>
              <w:rPr>
                <w:rFonts w:ascii="Times New Roman" w:cs="Times New Roman" w:eastAsia="Times New Roman" w:hAnsi="Times New Roman"/>
                <w:sz w:val="18"/>
                <w:szCs w:val="18"/>
                <w:color w:val="auto"/>
              </w:rPr>
              <w:t>F-16</w:t>
            </w: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 NET</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60" w:type="dxa"/>
            <w:vAlign w:val="bottom"/>
            <w:gridSpan w:val="5"/>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60" w:type="dxa"/>
            <w:vAlign w:val="bottom"/>
            <w:gridSpan w:val="5"/>
            <w:vMerge w:val="continue"/>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3660" w:type="dxa"/>
            <w:vAlign w:val="bottom"/>
            <w:tcBorders>
              <w:bottom w:val="single" w:sz="8" w:color="CCEEFF"/>
            </w:tcBorders>
          </w:tcPr>
          <w:p>
            <w:pPr>
              <w:spacing w:after="0"/>
              <w:rPr>
                <w:sz w:val="21"/>
                <w:szCs w:val="21"/>
                <w:color w:val="auto"/>
              </w:rPr>
            </w:pPr>
          </w:p>
        </w:tc>
        <w:tc>
          <w:tcPr>
            <w:tcW w:w="19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Historical Cost:</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2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Leasehold improvement</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233</w:t>
            </w: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3660" w:type="dxa"/>
            <w:vAlign w:val="bottom"/>
            <w:tcBorders>
              <w:top w:val="single" w:sz="8" w:color="CCEEFF"/>
              <w:bottom w:val="single" w:sz="8" w:color="CCEEFF"/>
            </w:tcBorders>
            <w:shd w:val="clear" w:color="auto" w:fill="CCEEFF"/>
          </w:tcPr>
          <w:p>
            <w:pPr>
              <w:spacing w:after="0"/>
              <w:rPr>
                <w:sz w:val="20"/>
                <w:szCs w:val="20"/>
                <w:color w:val="auto"/>
              </w:rPr>
            </w:pPr>
          </w:p>
        </w:tc>
        <w:tc>
          <w:tcPr>
            <w:tcW w:w="19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36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w:t>
            </w: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80" w:type="dxa"/>
            <w:vAlign w:val="bottom"/>
          </w:tcPr>
          <w:p>
            <w:pPr>
              <w:spacing w:after="0"/>
              <w:rPr>
                <w:sz w:val="21"/>
                <w:szCs w:val="21"/>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9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660" w:type="dxa"/>
            <w:vAlign w:val="bottom"/>
            <w:tcBorders>
              <w:top w:val="single" w:sz="8" w:color="CCEEFF"/>
              <w:bottom w:val="single" w:sz="8" w:color="CCEEFF"/>
            </w:tcBorders>
          </w:tcPr>
          <w:p>
            <w:pPr>
              <w:spacing w:after="0"/>
              <w:rPr>
                <w:sz w:val="18"/>
                <w:szCs w:val="18"/>
                <w:color w:val="auto"/>
              </w:rPr>
            </w:pPr>
          </w:p>
        </w:tc>
        <w:tc>
          <w:tcPr>
            <w:tcW w:w="192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493</w:t>
            </w:r>
          </w:p>
        </w:tc>
        <w:tc>
          <w:tcPr>
            <w:tcW w:w="26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387</w:t>
            </w:r>
          </w:p>
        </w:tc>
        <w:tc>
          <w:tcPr>
            <w:tcW w:w="80" w:type="dxa"/>
            <w:vAlign w:val="bottom"/>
            <w:tcBorders>
              <w:top w:val="single" w:sz="8" w:color="CCEEFF"/>
              <w:bottom w:val="single" w:sz="8" w:color="CCEEFF"/>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 ACCRUED LIABILITIES</w:t>
            </w:r>
          </w:p>
        </w:tc>
        <w:tc>
          <w:tcPr>
            <w:tcW w:w="1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4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liabilities</w:t>
            </w:r>
          </w:p>
        </w:tc>
        <w:tc>
          <w:tcPr>
            <w:tcW w:w="22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725</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1,372</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w:t>
            </w: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66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F-17</w:t>
            </w: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Government grants:</w:t>
      </w:r>
    </w:p>
    <w:p>
      <w:pPr>
        <w:spacing w:after="0" w:line="229" w:lineRule="exact"/>
        <w:rPr>
          <w:sz w:val="20"/>
          <w:szCs w:val="20"/>
          <w:color w:val="auto"/>
        </w:rPr>
      </w:pPr>
    </w:p>
    <w:p>
      <w:pPr>
        <w:jc w:val="both"/>
        <w:ind w:left="980"/>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IIA for participation in research and development since 2013 through December 31, 2023 totaling approximately $1,804. This amount includes amounts received in 2023 of approximately $304, which are a portion of an additional grant from the IIA in the amount of approximately NIS 1,620,000 (approximately $447)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3.0%-5% of its future sales of the products relating to such grants.</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80" w:lineRule="exact"/>
        <w:rPr>
          <w:sz w:val="20"/>
          <w:szCs w:val="20"/>
          <w:color w:val="auto"/>
        </w:rPr>
      </w:pPr>
    </w:p>
    <w:p>
      <w:pPr>
        <w:jc w:val="both"/>
        <w:ind w:left="980"/>
        <w:spacing w:after="0" w:line="226"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 As of December 31, 2023, the Company received approximately $27 of such grant. In relation with the Ministry of Economy grant, the Company is</w:t>
      </w:r>
    </w:p>
    <w:p>
      <w:pPr>
        <w:spacing w:after="0" w:line="3" w:lineRule="exact"/>
        <w:rPr>
          <w:sz w:val="20"/>
          <w:szCs w:val="20"/>
          <w:color w:val="auto"/>
        </w:rPr>
      </w:pPr>
    </w:p>
    <w:p>
      <w:pPr>
        <w:jc w:val="both"/>
        <w:ind w:left="980"/>
        <w:spacing w:after="0" w:line="209" w:lineRule="auto"/>
        <w:rPr>
          <w:sz w:val="20"/>
          <w:szCs w:val="20"/>
          <w:color w:val="auto"/>
        </w:rPr>
      </w:pPr>
      <w:r>
        <w:rPr>
          <w:rFonts w:ascii="Times New Roman" w:cs="Times New Roman" w:eastAsia="Times New Roman" w:hAnsi="Times New Roman"/>
          <w:sz w:val="18"/>
          <w:szCs w:val="18"/>
          <w:color w:val="auto"/>
        </w:rPr>
        <w:t>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TRDF agreement:</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with respect to the</w:t>
      </w:r>
    </w:p>
    <w:p>
      <w:pPr>
        <w:jc w:val="both"/>
        <w:ind w:left="980"/>
        <w:spacing w:after="0" w:line="221" w:lineRule="auto"/>
        <w:rPr>
          <w:sz w:val="20"/>
          <w:szCs w:val="20"/>
          <w:color w:val="auto"/>
        </w:rPr>
      </w:pPr>
      <w:r>
        <w:rPr>
          <w:rFonts w:ascii="Times New Roman" w:cs="Times New Roman" w:eastAsia="Times New Roman" w:hAnsi="Times New Roman"/>
          <w:sz w:val="18"/>
          <w:szCs w:val="18"/>
          <w:color w:val="auto"/>
        </w:rPr>
        <w:t>Company’s Self-Cleaning Shunt (SCS) project and its TipCat assets in addition to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Agreement with CardioSert Ltd.:</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CardioSert Agreement may be terminated by CardioSert in case the first commercial sale does not occur by the third anniversary of the date of signing of the CardioSert Agreement except if Microbot Israel has invested more than $2,000 in certain development stages, or the first commercial sale does not occur within 50 months. As of December 31, 2023, the 50 months period has expired and CardioSert can buy-back the Technology at any time.</w:t>
      </w:r>
    </w:p>
    <w:p>
      <w:pPr>
        <w:spacing w:after="0" w:line="180"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In each of the above termination events, or in case of breach by Microbot Israel, CardioSert shall have the right to buy back the Technology from Microbot Israel for $1.00 (dollar not in thousands), upon 60 days prior written notice, but only 1 year after such termination events. Additionally, the CardioSert Agreement may be terminated by either party upon breach of the other (subject to cure). Until May 2023, Microbot Israel paid CardioSert a monthly consultation fee of NIS 40,000 (or approximately US$11, based on an exchange rate of NIS 3.7 to the dollar) covering up to 60 consulting hours per month, relating to the development of the Technology. As a result of its core-business focus program and its cost reduction plan enacted in May 2023, the Company has terminated the CardioSert Agreement effective as of August 17, 2023 and ceased its research and development and commercialization efforts for, and maintaining, the Technology, which subsequent to the balance sheet date resulted in CardioSert triggering its right to reacquire the Technology for nominal consideration. See Note 16E below.</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ATM agreement:</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To date, we have not sold any shares of common stock pursuant to the ATM Agreement, and as of October 13, 2022, the Company suspended the ATM Agreement, which otherwise remains in full force and effect subject to reactivation.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Engagement letters with H.C. Wainwright: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connection with registered direct and private placement offerings referred to in Note 10 below, the Company entered into engagement letters (the “Engagement Letters”) with Wainwright on October 3, 2022, on May 16, 2023 and on October 24, 2023, pursuant to which Wainwright agreed to serve as the exclusive placement agent for the issuance and sale of securities of the Company.</w:t>
      </w:r>
    </w:p>
    <w:p>
      <w:pPr>
        <w:spacing w:after="0" w:line="176"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 Acquisition of Nitiloop’s assets: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ind w:left="1620" w:hanging="640"/>
        <w:spacing w:after="0"/>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spacing w:after="0" w:line="27" w:lineRule="exact"/>
        <w:rPr>
          <w:rFonts w:ascii="Times New Roman" w:cs="Times New Roman" w:eastAsia="Times New Roman" w:hAnsi="Times New Roman"/>
          <w:sz w:val="18"/>
          <w:szCs w:val="18"/>
          <w:color w:val="auto"/>
        </w:rPr>
      </w:pPr>
    </w:p>
    <w:p>
      <w:pPr>
        <w:ind w:left="1620" w:hanging="640"/>
        <w:spacing w:after="0" w:line="260"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81"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Based on the Company’s analysis, the Company concluded that the acquisition of the assets does not meet the definition of a business for the purpose of applying SEC Rules (S-X Rules of 3-05, 8-04 and 11-01).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 Litigation resulting from the 2017 financing:</w:t>
      </w:r>
    </w:p>
    <w:p>
      <w:pPr>
        <w:spacing w:after="0" w:line="229" w:lineRule="exact"/>
        <w:rPr>
          <w:sz w:val="20"/>
          <w:szCs w:val="20"/>
          <w:color w:val="auto"/>
        </w:rPr>
      </w:pPr>
    </w:p>
    <w:p>
      <w:pPr>
        <w:jc w:val="both"/>
        <w:ind w:left="980"/>
        <w:spacing w:after="0" w:line="274" w:lineRule="auto"/>
        <w:rPr>
          <w:sz w:val="20"/>
          <w:szCs w:val="20"/>
          <w:color w:val="auto"/>
        </w:rPr>
      </w:pPr>
      <w:r>
        <w:rPr>
          <w:rFonts w:ascii="Times New Roman" w:cs="Times New Roman" w:eastAsia="Times New Roman" w:hAnsi="Times New Roman"/>
          <w:sz w:val="17"/>
          <w:szCs w:val="17"/>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Lawsuit was settled in January 2024. Refer to Note 16C below.</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H. Mona litigation:</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 March 31, 2021, the Court entered a judgment against Mona and in favor of the Company in the amount of approximately $485.</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Collection of the judgment was deferred pending resolution of Mona’s counterclaim.</w:t>
      </w:r>
    </w:p>
    <w:p>
      <w:pPr>
        <w:spacing w:after="0" w:line="207"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August 4, 2023, the Magistrate Judge issued a Report &amp; Recommendation, which recommended that the District Court dismiss Mona’s Section 10(b) counterclaim in the entirety. On August 22, 2023, the District Court adopted the Report and Recommendation in full and dismissed the Section 10(b) counterclaim in its entirety. The time for appeal has expired and the Company is proceeding with collection efforts for the $485 judgment against Mona (the “Judgment”).</w:t>
      </w:r>
    </w:p>
    <w:p>
      <w:pPr>
        <w:spacing w:after="0" w:line="180"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Court has permitted the Company’s ongoing execution efforts to continue notwithstanding Mona’s purported appeal of the Court’s denial of his motion to vacate. On March 15, 2024, the Magistrate Judge issued an Order to Show Cause (“OTSC”) directing the liquidation of certain of Mona’s accounts, and the transfer of the sale proceeds to the Company in partial satisfaction of the Judgment. The OTSC hearing is scheduled to be held in the second quarter of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Share capital developments: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has 11,707,317 and 7,890,628 shares of common stock issued and outstanding, respectively.</w:t>
      </w:r>
    </w:p>
    <w:p>
      <w:pPr>
        <w:spacing w:after="0" w:line="162"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On October 21, 2022, the Company entered into a Securities Purchase Agreement (the “Purchase Agreement”) with an institutional investor (the “Investor”), pursuant to which the Company issued and sold, in a registered direct offering priced at-the-market under the rules of The Nasdaq Stock Market (the “Registered Offering”), (i) an aggregate of 782,495 shares of common stock, at an offering price of $4.89 per share and (ii) pre-funded warrants exercisable for up to 240,000 shares of common stock (the “Pre-Funded Warrants”) to the Investor at an offering price of $4.8899 per Pre-Funded Warrant, for aggregate gross proceeds from the Offerings (as defined below) of approximately $5,000 before deducting the placement agent fee (as described below) and related offering expenses.</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Each Pre-Funded Warrant represents the right to purchase one share of common stock at an exercise price of $0.0001 per share. The Pre-Funded Warrants are exercisable immediately and may be exercised at any time until the Pre-Funded Warrants are exercised in full.</w:t>
      </w:r>
    </w:p>
    <w:p>
      <w:pPr>
        <w:spacing w:after="0" w:line="162"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In a concurrent private placement (the “Private Placement” and, together with the Registered Offering, the “Offerings”), the Company issued to the Investor (i) Series A preferred investment options to purchase up to 1,022,495 shares of common stock (the “Series A Warrants”) at an exercise price of $4.64 per share and (ii) Series B preferred investment options to purchase up to 1,022,495 shares of common stock (the “Series B Warrants”) at an exercise price of $4.64 per share. Each Series A Warrant is exercisable immediately and will expire five years from the initial exercise date. Each Series B Warrant is exercisable immediately and will expire two years from the initial exercise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On October 3, 2022 and in connection with the Offerings, the Company entered into an Engagement Letter with Wainwright as mentioned in Note 9E, as compensation for such placement agent services, the Company paid Wainwright aggregate cash fees and reimbursed Wainwright for its expenses aggregating approximately $565. The Company incurred other related offering expenses of $111. The Company also issued to Wainwright or its designees warrants to purchase 51,125 shares of common stock (the “Wainwright Warrants”). The Wainwright Warrants have a term of five years from the commencement of sales in the Offerings, and have an exercise price of $6.11 per share. The Company estimated the fair value of the warrants using a Black-Scholes options pricing model and concluded it is approximately $138.</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On February 13, 2023, 240,000 of the Company’s outstanding pre-funded warrants were exercised into an equivalent number of shares of common stock, at an exercise price of $0.0001 per share.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Registered direct and private placement offerings: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On May 22, 2023, the Company entered into a securities purchase agreement with an institutional investor, pursuant to which it agreed to issue and sell in a registered direct offering an aggregate of 655,569 shares of common stock, at an offering price of $2.20 per share, for aggregate gross proceeds of $1,442 before deducting the placement agent fee and related offering expenses of approximately $222 (the “First May Offering”). The Company also issued to Wainwright or its designees preferred investment options to purchase 32,778 shares of common stock, which have a term of three and one-half years from the commencement of sales in the First May Offering, and have an exercise price of $2.75 per share. The First May Offering was consummated on May 23, 2023. The Company estimated the fair value of the warrants using a Black-Scholes options pricing model and concluded it is approximately $46.</w:t>
      </w:r>
    </w:p>
    <w:p>
      <w:pPr>
        <w:spacing w:after="0" w:line="18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May 23, 2023, the Company entered into a securities purchase agreement with an institutional investor, pursuant to which it agreed to issue and sell in a registered direct offering (i) an aggregate of 975,000 shares of common stock, at an offering price of $2.20 per share and</w:t>
      </w:r>
    </w:p>
    <w:p>
      <w:pPr>
        <w:jc w:val="both"/>
        <w:ind w:left="980"/>
        <w:spacing w:after="0" w:line="252" w:lineRule="auto"/>
        <w:tabs>
          <w:tab w:leader="none" w:pos="12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exercisable for up to 234,500 shares of the Company’s common stock, at an offering price of $2.1999 per pre-funded warrant, for aggregate gross proceeds of $2,661 before deducting the placement agent fee and related offering expenses of approximately $345 (the “Second May Offering”). The pre-funded warrants are exercisable immediately and may be exercised at any time until the pre-funded warrants are exercised in full. The Second May Offering was consummated on May 24, 2023. All of such pre-funded warrants were subsequently immediately exercised in accordance with their terms at an exercise price per share of $0.0001 into an equivalent number of shares of common stock.</w:t>
      </w:r>
    </w:p>
    <w:p>
      <w:pPr>
        <w:spacing w:after="0" w:line="19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also issued to Wainwright or its designees preferred investment options to purchase 60,476 shares of common stock, which have a term of three and one-half years from the closing of the Second May Offering, and have an exercise price of $2.75 per share. The Company estimated the fair value of the warrants using a Black-Scholes options pricing model and concluded it is approximately $72.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Registered Direct and Private Placement Offerings:</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June 2, 2023, the Company entered into a securities purchase agreement with institutional investors, pursuant to which it agreed to issue and sell in a registered direct offering an aggregate of 701,756 shares of common stock, at an offering price of $2.1375 per share, for aggregate gross proceeds, with the concurrent private placement described below, of $1,500 before deducting the placement agent fee and related offering expenses of approximately $227 (the “First June Offering”). The Company also issued to Wainwright or its designees preferred investment options to purchase 35,088 shares of its common stock, which have a term of five years from the commencement of sales in the First June Offering, and have an exercise price of $2.6719 per share. The Company estimated the fair value of the warrants using a Black-Scholes options pricing model and concluded it is approximately $58. The registered direct offering was consummated on June 6, 2023. In a concurrent private placement, the Company also issued to the purchasers of shares of common stock in the First June Offering, series C preferred investment options to purchase up to 350,878 shares of common stock. Each series C preferred investment option is exercisable for one share of common stock at an exercise price of $2.075 commencing on the date of issuance and expiring five and one-half years from the issuance date.</w:t>
      </w:r>
    </w:p>
    <w:p>
      <w:pPr>
        <w:spacing w:after="0" w:line="192"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June 26, 2023, the Company entered into a securities purchase agreement with institutional investors, pursuant to which it agreed to issue and sell in a registered direct offering an aggregate of 624,618 shares of its common stock, at an offering price of $3.25 per share, for aggregate gross proceeds, with the concurrent private placement described below, of $2,030 before deducting the placement agent fee and related offering expenses of approximately $281 (the “Second June Offering”). The Company also issued to Wainwright or its designees preferred investment options to purchase 31,231 shares of its common stock, which have a term of five years from the commencement of sales in the Second June Offering, and have an exercise price of $4.0625 per share. The Company estimated the fair value of the warrants using a Black-Scholes options pricing model and concluded it is approximately $68. The registered direct offering was consummated on June 28, 2023. In a concurrent private placement, the Company also issued to the purchasers of shares of common stock in the Second June Offering, series D preferred investment options to purchase up to 312,309 shares of the Company’s common stock. Each series D preferred investment option is exercisable for one share of common stock at an exercise price of $3.19 commencing on the date of issuance and expiring five and one-half years from the issuance date.</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common stock of the Company are recognized as equity under the requirements of ASC Topic 505 Equity.</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analyzed the accounting treatment for the series A preferred investment option, the series B preferred investment option, the series C preferred investment option, the series D preferred investment option, and all of the pre-funded warrants issued to investors. Based on the Company’s analysis all such warrants were classified as equity.</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analyzed the accounting treatment for all of the preferred investment options issued to Wainwright in the aforementioned offerings. Since the Company did not identify any features causing liability classification according to ASC 718, it concluded that all such preferred investment options are equity-classified awards.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Preferred investment options amendment:</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In connection with the Second May Offering, the Company amended the terms of (i) the Series A preferred investment options to purchase 1,022,495 shares of its common stock for an exercise price of $4.64 per share which are scheduled to expire on October 25, 2027 and (ii) the Series B preferred investment options to purchase 1,022,495 shares of its common stock for an exercise price of $4.64 per share which were initially scheduled to expire on October 25, 2024 (the “Series B Preferred Investment Options”), in each case previously issued to the investor in October 2022 under the securities purchase agreement dated October 21, 2022 (collectively, the “Existing Preferred Investment Options”), which investor also participated in the Second May Offering, such that effective upon the closing of the Second May Offering, the Existing Preferred Investment Options have a reduced exercise price of $2.20 per share and the Series B Preferred Investment Options expire on October 25, 2027. These modifications to the Existing Preferred Investment Options represent issuance costs associated with the Second May Offering. The Company estimated the amount of the effect of the modifications using a Black-Scholes option pricing model and concluded that is approximately $1,230. On June 16, 2023, the holder of the Series B Preferred Investment Options exercised all of such Series B Preferred Investment Options pursuant to its cashless exercise provision into 385,246 shares of common stock.</w:t>
      </w:r>
    </w:p>
    <w:p>
      <w:pPr>
        <w:spacing w:after="0" w:line="19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grant date fair values of preferred investment options issued to Wainwright and preferred investment options issued to investors that were modified in the years ended December 31, 2023 and 2022 were estimated using the Black-Scholes valuation model with the following:</w:t>
      </w: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80" w:type="dxa"/>
            <w:vAlign w:val="bottom"/>
          </w:tcPr>
          <w:p>
            <w:pPr>
              <w:spacing w:after="0"/>
              <w:rPr>
                <w:sz w:val="21"/>
                <w:szCs w:val="21"/>
                <w:color w:val="auto"/>
              </w:rPr>
            </w:pPr>
          </w:p>
        </w:tc>
        <w:tc>
          <w:tcPr>
            <w:tcW w:w="3060" w:type="dxa"/>
            <w:vAlign w:val="bottom"/>
            <w:tcBorders>
              <w:bottom w:val="single" w:sz="8" w:color="CCEEFF"/>
            </w:tcBorders>
          </w:tcPr>
          <w:p>
            <w:pPr>
              <w:spacing w:after="0"/>
              <w:rPr>
                <w:sz w:val="21"/>
                <w:szCs w:val="21"/>
                <w:color w:val="auto"/>
              </w:rPr>
            </w:pPr>
          </w:p>
        </w:tc>
        <w:tc>
          <w:tcPr>
            <w:tcW w:w="2800" w:type="dxa"/>
            <w:vAlign w:val="bottom"/>
            <w:tcBorders>
              <w:bottom w:val="single" w:sz="8" w:color="CCEEFF"/>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CCEEFF"/>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c>
          <w:tcPr>
            <w:tcW w:w="720" w:type="dxa"/>
            <w:vAlign w:val="bottom"/>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8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101.31%-122.39%</w:t>
            </w: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4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3.85%- 4.93%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4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1.42-5</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w:t>
            </w:r>
          </w:p>
        </w:tc>
        <w:tc>
          <w:tcPr>
            <w:tcW w:w="720" w:type="dxa"/>
            <w:vAlign w:val="bottom"/>
          </w:tcPr>
          <w:p>
            <w:pPr>
              <w:spacing w:after="0"/>
              <w:rPr>
                <w:sz w:val="20"/>
                <w:szCs w:val="20"/>
                <w:color w:val="auto"/>
              </w:rPr>
            </w:pPr>
          </w:p>
        </w:tc>
      </w:tr>
      <w:tr>
        <w:trPr>
          <w:trHeight w:val="421"/>
        </w:trPr>
        <w:tc>
          <w:tcPr>
            <w:tcW w:w="9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8"/>
                <w:szCs w:val="18"/>
                <w:color w:val="auto"/>
              </w:rPr>
              <w:t>F-24</w:t>
            </w:r>
          </w:p>
        </w:tc>
        <w:tc>
          <w:tcPr>
            <w:tcW w:w="1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784"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Employee stock option grants: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to Mr. Harel Gadot, the Company’s Chairman of the Board, President and CEO (the “CEO”), options to purchase an aggregate of 260,000 shares of the Company’s common stock, at an exercise price per share ranging from $3.73-$6.48.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to certain employees, consultants and directors, options to purchase an aggregate of 270,822 shares of the Company’s common stock, at an exercise price per share ranging from $3.73-$6.48.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to the CEO, options to purchase an aggregate of 80,000 shares of the Company’s common stock, at an exercise price per share of $2.43.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stock option awards to certain officers, directors and employees to purchase an aggregate of 631,308 shares of the Company’s common stock, at an exercise price per share ranging from $1.16-$3.48 with a vesting period of three years.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summary of the Company’s option activity related to options to employees and directors, and related information is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7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27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6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80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 of stock</w:t>
            </w:r>
          </w:p>
        </w:tc>
        <w:tc>
          <w:tcPr>
            <w:tcW w:w="15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1,507,137</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711,308</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(123,083)</w:t>
            </w:r>
          </w:p>
        </w:tc>
        <w:tc>
          <w:tcPr>
            <w:tcW w:w="9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55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2,095,362</w:t>
            </w:r>
          </w:p>
        </w:tc>
        <w:tc>
          <w:tcPr>
            <w:tcW w:w="26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December 31, 2023</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1,176,118</w:t>
            </w:r>
          </w:p>
        </w:tc>
        <w:tc>
          <w:tcPr>
            <w:tcW w:w="260" w:type="dxa"/>
            <w:vAlign w:val="bottom"/>
          </w:tcPr>
          <w:p>
            <w:pPr>
              <w:spacing w:after="0"/>
              <w:rPr>
                <w:sz w:val="21"/>
                <w:szCs w:val="21"/>
                <w:color w:val="auto"/>
              </w:rPr>
            </w:pPr>
          </w:p>
        </w:tc>
        <w:tc>
          <w:tcPr>
            <w:tcW w:w="9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9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7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27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6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80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 of stock</w:t>
            </w:r>
          </w:p>
        </w:tc>
        <w:tc>
          <w:tcPr>
            <w:tcW w:w="15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997,148</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530,822</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49"/>
        </w:trPr>
        <w:tc>
          <w:tcPr>
            <w:tcW w:w="98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(20,833)</w:t>
            </w:r>
          </w:p>
        </w:tc>
        <w:tc>
          <w:tcPr>
            <w:tcW w:w="9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55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1,507,137</w:t>
            </w:r>
          </w:p>
        </w:tc>
        <w:tc>
          <w:tcPr>
            <w:tcW w:w="26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December 31, 2022</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899,609</w:t>
            </w: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Company recognizes forfeitures of outstanding options as they occur.</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2023 and December 31, 2022, respectively.</w:t>
      </w:r>
    </w:p>
    <w:p>
      <w:pPr>
        <w:spacing w:after="0" w:line="176"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aggregate intrinsic value of the outstanding options is $277 and $185, respectively, and the aggregate intrinsic value of the exercisable options is $102 and $185, respectively.</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years ended December 31, 2023 and 2022 was $1.40 and $4.50,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As of December 31, 2023, there were approximately $1,918 of total unrecognized compensation costs related to unvested share-based compensation awards granted under the Share Incentive Plan. The costs are expected to be recognized over a weighted average period of 2.4 years.</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stock options outstanding as of December 31, 2023 and December 31, 2022, summarized by exercise prices,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outstanding as</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outstanding as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 years as of</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 years as of</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exercisable as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exercisable as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 December 31,</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of December 31,</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 December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December</w:t>
            </w:r>
          </w:p>
        </w:tc>
        <w:tc>
          <w:tcPr>
            <w:tcW w:w="0" w:type="dxa"/>
            <w:vAlign w:val="bottom"/>
          </w:tcPr>
          <w:p>
            <w:pPr>
              <w:spacing w:after="0"/>
              <w:rPr>
                <w:sz w:val="1"/>
                <w:szCs w:val="1"/>
                <w:color w:val="auto"/>
              </w:rPr>
            </w:pPr>
          </w:p>
        </w:tc>
      </w:tr>
      <w:tr>
        <w:trPr>
          <w:trHeight w:val="245"/>
        </w:trPr>
        <w:tc>
          <w:tcPr>
            <w:tcW w:w="20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Exercise price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6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31, 2023</w:t>
            </w:r>
          </w:p>
        </w:tc>
        <w:tc>
          <w:tcPr>
            <w:tcW w:w="3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0.00-0.01</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1.00-3.73</w:t>
            </w:r>
          </w:p>
        </w:tc>
        <w:tc>
          <w:tcPr>
            <w:tcW w:w="22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860,808</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211,000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95,925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4.2-7.26</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639,232</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687,482</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484,871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315,807</w:t>
            </w: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8.16-9.64</w:t>
            </w:r>
          </w:p>
        </w:tc>
        <w:tc>
          <w:tcPr>
            <w:tcW w:w="22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380,872</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380,872</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380,872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356,019</w:t>
            </w:r>
          </w:p>
        </w:tc>
        <w:tc>
          <w:tcPr>
            <w:tcW w:w="0" w:type="dxa"/>
            <w:vAlign w:val="bottom"/>
          </w:tcPr>
          <w:p>
            <w:pPr>
              <w:spacing w:after="0"/>
              <w:rPr>
                <w:sz w:val="1"/>
                <w:szCs w:val="1"/>
                <w:color w:val="auto"/>
              </w:rPr>
            </w:pPr>
          </w:p>
        </w:tc>
      </w:tr>
      <w:tr>
        <w:trPr>
          <w:trHeight w:val="249"/>
        </w:trPr>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15.3-15.75</w:t>
            </w:r>
          </w:p>
        </w:tc>
        <w:tc>
          <w:tcPr>
            <w:tcW w:w="2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152,873</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166,206</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152,873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166,206</w:t>
            </w:r>
          </w:p>
        </w:tc>
        <w:tc>
          <w:tcPr>
            <w:tcW w:w="0" w:type="dxa"/>
            <w:vAlign w:val="bottom"/>
          </w:tcPr>
          <w:p>
            <w:pPr>
              <w:spacing w:after="0"/>
              <w:rPr>
                <w:sz w:val="1"/>
                <w:szCs w:val="1"/>
                <w:color w:val="auto"/>
              </w:rPr>
            </w:pPr>
          </w:p>
        </w:tc>
      </w:tr>
      <w:tr>
        <w:trPr>
          <w:trHeight w:val="217"/>
        </w:trPr>
        <w:tc>
          <w:tcPr>
            <w:tcW w:w="1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2,095,362</w:t>
            </w: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1,507,137</w:t>
            </w:r>
          </w:p>
        </w:tc>
        <w:tc>
          <w:tcPr>
            <w:tcW w:w="3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1,176,118</w:t>
            </w:r>
          </w:p>
        </w:tc>
        <w:tc>
          <w:tcPr>
            <w:tcW w:w="32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899,609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F-27</w:t>
            </w: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grant date fair values of employee stock options granted in the years ended December 31, 2023 and 2022 were estimated using the Black-</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Scholes valuation model with the following:</w:t>
      </w:r>
    </w:p>
    <w:p>
      <w:pPr>
        <w:spacing w:after="0" w:line="203"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980" w:type="dxa"/>
        <w:tblCellMar>
          <w:top w:w="0" w:type="dxa"/>
          <w:left w:w="0" w:type="dxa"/>
          <w:bottom w:w="0" w:type="dxa"/>
          <w:right w:w="0" w:type="dxa"/>
        </w:tblCellMar>
      </w:tblPr>
      <w:tr>
        <w:trPr>
          <w:trHeight w:val="244"/>
        </w:trPr>
        <w:tc>
          <w:tcPr>
            <w:tcW w:w="5580" w:type="dxa"/>
            <w:vAlign w:val="bottom"/>
            <w:tcBorders>
              <w:bottom w:val="single" w:sz="8" w:color="CCEEFF"/>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CCEEFF"/>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1"/>
                <w:szCs w:val="2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86.5%-98.2%</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111.2%-161.7%</w:t>
            </w: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3.3%- 4.7%</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1.7%- 3.7%</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r>
    </w:tbl>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Warrants: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remaining outstanding warrants and terms as of December 31, 2023 and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Outstanding and</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Outstanding and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exercisable as of</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exercisable as of</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45"/>
        </w:trPr>
        <w:tc>
          <w:tcPr>
            <w:tcW w:w="316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Through</w:t>
            </w:r>
          </w:p>
        </w:tc>
      </w:tr>
      <w:tr>
        <w:trPr>
          <w:trHeight w:val="216"/>
        </w:trPr>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(2013)</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2,754.00</w:t>
            </w:r>
          </w:p>
        </w:tc>
        <w:tc>
          <w:tcPr>
            <w:tcW w:w="3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9, 2023</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45,643</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13.13</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25, 2023</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47,619</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27, 2023</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45,045</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2023</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October 2022</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1,022,495</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1,022,495</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25, 2027</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 October 2022</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1,022,495</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2027</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warrants October 2022</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 limit</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October 2022</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51,125</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51,125</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6.11</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21, 2027</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32,778</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23, 2026</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60,476</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24, 2026</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35,088</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 2028</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series C June 2023</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350,878</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6, 2028</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31,231</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4.06</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28, 2028</w:t>
            </w:r>
          </w:p>
        </w:tc>
      </w:t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series D June 2023</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312,309</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28, 2028</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Less than $0.01.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BASIC AND DILUTED NET LOSS PER SHARE</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basic and diluted net loss per share and weighted average number of shares of common stock used in the calculation of basic and diluted net loss per share were presented in the consolidated statements of comprehensive loss for the years ended December 31, 2023 and 2022.</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the calculation of the basic and diluted net loss, the Company included warrants that would be exercised for no or little consideration and are exercisable with no contingencies.</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Due to the net loss to common shareholders in each of the periods presented above, diluted loss per share was computed without consideration to potentially dilutive instruments as their inclusion would have been anti-dilutive. As of December 31, 2023 and 2022, potentially dilutive securities excluded from the diluted loss per share calculation are as follows:</w:t>
      </w:r>
    </w:p>
    <w:p>
      <w:pPr>
        <w:spacing w:after="0" w:line="172"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2013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45,643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47,619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45,045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and B warrants October 2022</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1,022,495</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2,044,990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October 2022</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51,125</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51,125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32,778</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60,476</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35,088</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series C June 2023</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350,878</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31,231</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series D June 2023</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312,309</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8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employee stock options to purchase common stock</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2,095,362</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1,507,137</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ind w:left="4480"/>
              <w:spacing w:after="0"/>
              <w:rPr>
                <w:sz w:val="20"/>
                <w:szCs w:val="20"/>
                <w:color w:val="auto"/>
              </w:rPr>
            </w:pPr>
            <w:r>
              <w:rPr>
                <w:rFonts w:ascii="Times New Roman" w:cs="Times New Roman" w:eastAsia="Times New Roman" w:hAnsi="Times New Roman"/>
                <w:sz w:val="18"/>
                <w:szCs w:val="18"/>
                <w:color w:val="auto"/>
              </w:rPr>
              <w:t>F-29</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98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vMerge w:val="continue"/>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12 - RESEARCH AND DEVELOPMENT EXPENSES, NET</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2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center"/>
              <w:ind w:right="454"/>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407</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387</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1,842</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2,097</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Materials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520</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213</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248</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Less - grants</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w:t>
            </w:r>
          </w:p>
        </w:tc>
        <w:tc>
          <w:tcPr>
            <w:tcW w:w="102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4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13 - GENERAL AND ADMINISTRATIVE EXPENSES, NET</w:t>
            </w:r>
          </w:p>
        </w:tc>
        <w:tc>
          <w:tcPr>
            <w:tcW w:w="1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9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Government fees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988</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1,204</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442</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Public and investor relations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Travel</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w:t>
            </w:r>
          </w:p>
        </w:tc>
        <w:tc>
          <w:tcPr>
            <w:tcW w:w="10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Less - insurance loss recoveries</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w:t>
            </w:r>
          </w:p>
        </w:tc>
        <w:tc>
          <w:tcPr>
            <w:tcW w:w="10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4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right"/>
              <w:ind w:right="1710"/>
              <w:spacing w:after="0"/>
              <w:rPr>
                <w:sz w:val="20"/>
                <w:szCs w:val="20"/>
                <w:color w:val="auto"/>
              </w:rPr>
            </w:pPr>
            <w:r>
              <w:rPr>
                <w:rFonts w:ascii="Times New Roman" w:cs="Times New Roman" w:eastAsia="Times New Roman" w:hAnsi="Times New Roman"/>
                <w:sz w:val="18"/>
                <w:szCs w:val="18"/>
                <w:color w:val="auto"/>
              </w:rPr>
              <w:t>F-30</w:t>
            </w: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RELATED PARTIES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There were no material related party transactions in each of the years ended December 31, 2023 and 2022 that were outside of the Company’s normal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INCOME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is subject to U.S. federal tax rate of 21% for the years ended December 31, 2023 and 2022.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not been audited by the Internal Revenue Service since its incorporation.</w:t>
      </w:r>
    </w:p>
    <w:p>
      <w:pPr>
        <w:spacing w:after="0" w:line="22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 Company has generated accumulated net operating losses in the U.S. of approximately $506,317 and $502,053, respectively.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80"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Microbot Israel is subject to Israeli corporate tax rate of 23% for the years ended 2023 and 2022. Microbot Israel has not received a final tax assessment since 2018.</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Microbot Israel has generated accumulated net operating losses in Israel of approximately $41,164 and $34,688, respectively, which may be carried forward and offset against taxable income in the future for an indefinite period.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INCOME</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5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60" w:type="dxa"/>
            <w:vAlign w:val="bottom"/>
            <w:gridSpan w:val="5"/>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6"/>
        </w:trPr>
        <w:tc>
          <w:tcPr>
            <w:tcW w:w="55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16"/>
        </w:trPr>
        <w:tc>
          <w:tcPr>
            <w:tcW w:w="5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115,778</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113,393</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 pay</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 accrual</w:t>
            </w:r>
          </w:p>
        </w:tc>
        <w:tc>
          <w:tcPr>
            <w:tcW w:w="34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464</w:t>
            </w:r>
          </w:p>
        </w:tc>
        <w:tc>
          <w:tcPr>
            <w:tcW w:w="32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payment from IIA</w:t>
            </w: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55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116,371</w:t>
            </w: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113,569</w:t>
            </w:r>
          </w:p>
        </w:tc>
        <w:tc>
          <w:tcPr>
            <w:tcW w:w="80" w:type="dxa"/>
            <w:vAlign w:val="bottom"/>
            <w:tcBorders>
              <w:top w:val="single" w:sz="8" w:color="CCEEFF"/>
            </w:tcBorders>
          </w:tcPr>
          <w:p>
            <w:pPr>
              <w:spacing w:after="0"/>
              <w:rPr>
                <w:sz w:val="17"/>
                <w:szCs w:val="17"/>
                <w:color w:val="auto"/>
              </w:rPr>
            </w:pPr>
          </w:p>
        </w:tc>
      </w:tr>
      <w:tr>
        <w:trPr>
          <w:trHeight w:val="25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(116,014)</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(113,455)</w:t>
            </w:r>
          </w:p>
        </w:tc>
      </w:tr>
      <w:tr>
        <w:trPr>
          <w:trHeight w:val="210"/>
        </w:trPr>
        <w:tc>
          <w:tcPr>
            <w:tcW w:w="55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357</w:t>
            </w:r>
          </w:p>
        </w:tc>
        <w:tc>
          <w:tcPr>
            <w:tcW w:w="26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right-of-use assets</w:t>
            </w:r>
          </w:p>
        </w:tc>
        <w:tc>
          <w:tcPr>
            <w:tcW w:w="34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receivable (Ministry of Economy)</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Insurance recovery receivable</w:t>
            </w:r>
          </w:p>
        </w:tc>
        <w:tc>
          <w:tcPr>
            <w:tcW w:w="34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(280)</w:t>
            </w:r>
          </w:p>
        </w:tc>
        <w:tc>
          <w:tcPr>
            <w:tcW w:w="32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(357</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9"/>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Reconciliation of Income Taxes: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main reconciling item between the statutory tax rate of the Company and the effective tax rate is the recognition of valuation allowance in respect of deferred taxes relating to accumulated net operating losses carried forward due to the uncertainty of the realization of such deferred taxes.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Preferred investment options inducement:</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received aggregate gross proceeds of approximately $2,730 from the exercise of the Existing Investment Options by the Holders and the sale of the Inducement Investment Options, before deducting placement agent fees and other offering expenses payable by the Company.</w:t>
      </w:r>
    </w:p>
    <w:p>
      <w:pPr>
        <w:spacing w:after="0" w:line="187"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As mentioned in Note 9E above, the Company engaged Wainwright to act as its exclusive placement agent in connection with the transactions summarized above pursuant to an Engagement Letter, dated October 24, 2023 and paid Wainwright a cash fee equal to 7.0% of the gross proceeds received from the exercise of the Existing Investment Options as well as a management fee equal to 1.0% of the gross proceeds from the exercise of the Existing Investment Options. The Company also paid Wainwright $60 for non-accountable expenses, and approximately $16 for certain administrative fees. The Company also issued to Wainwright or its designees preferred investment options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spacing w:after="0" w:line="188"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Closing of the preferred investment option exercise inducement offer letter, and the modification of the previous warrants, the issuance of the stock and the warrants, and the receipt of cash, all occurred after December 31, 2023.</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Reinstatement of annual compensation:</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8, 2024, the Board of Directors of the Company authorized the reinstatement of the annual fees payable to the independent directors for their services, effective as of January 1, 2024. Such fees were suspended in May 2023 as a result of the Company’s cost reduction plan.</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also reinstated in full of the annual compensation of the CEO, effective as of January 1, 2024. Such compensation was reduced by 50% in May 2023 as a result of the Company’s cost reduction plan.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Settlement of litigation resulting from the 2017 financing:</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26, 2024 (the “Effective Date”), the Company entered into a settlement agreement and release with the Plaintiffs (the “Settlement Agreement”), effectively resolving a lawsuit brought against the Company in 2020. The lawsuit stemmed from securities purchase agreements made between the Company and the third parties in 2017.</w:t>
      </w:r>
    </w:p>
    <w:p>
      <w:pPr>
        <w:spacing w:after="0" w:line="176"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Pursuant to the Settlement Agreement, the Company agreed to pay $2,154 consisting of a cash payment of $1,100, covered by the Company’s insurance company, and 1,005,965 shares of restricted common stock. Furthermore, the Company’s insurance company is responsible for covering legal expenses incurred by the Company in relation to the legal proceedings of the Lawsuit. As part of the Settlement Agreement, the Company is also obligated to register the restricted common stock. In February 2024, the Plaintiffs filed a stipulation discontinuing the Lawsuit with prejudice.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3" w:name="page114"/>
    <w:bookmarkEnd w:id="113"/>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 loss contingency should be recognized as non-operating losses, offset by loss recoveries received from the Company’s insurance company</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Settlement Agreement and the insurance recovery received from the insurance company, as of December 31, 2023, the Company recorded a liability and an asset on its balance sheet totaling $2,211 and $1,335, respectively. Within this asset, $1,100 represents the recovery of the cash payment of the settlement amount, and $235 represents recovery of legal expenses. A net non-operating loss of $1,111 from legal settlement was reflected in the Company’s statement of comprehensive loss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Stock option grants and other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the Company granted the CEO, certain executives and certain employees, fully vested options to purchase an aggregate of 130,000 shares of the Company’s common stock, at an exercise price per share of $1.2684, attributable to performance goals achieved in January 2024. The Company also granted the CEO and other executives, options to purchase an aggregate of 132,500 shares of common stock at an exercise price per share of $1.25, with vesting based on meeting certain performance conditions in the year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certain employees and advisors, options to purchase an aggregate of 77,500 shares of the Company’s common stock, at an exercise price per share of $1.2684, with a vesting period of three years.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Regarding the CEO’s 2023 annual bonus, in February 2024, the Company paid the CEO 25% of his 2023 annual bonus, amounting to approximately $99, through the grant of fully vested options to purchase an aggregate of 79,567 shares of the Company’s common stock with an exercise price per share of $1.25. The remaining 75% of the CEO’s bonus will be paid in cash contingent upon meeting certain conditions during 2024. As for other Company executives’ 2023 annual bonuses, in February 2024, the Company paid 50% of such bonuses in cash. The remaining 50% of such bonuses will be paid in cash contingent upon meeting certain conditions during 2024. As of December 31, 2023 and for the year then ended, the portions of the bonuses, which were paid in February 2024 in options and cash, were reflected as a liability in the Company’s balance sheet against payroll expenses in the Company’s statement of comprehensive loss, amounting to approximately $140.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Return of CardioSert intellectual property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2024, the Company received notice from CardioSert that it was triggering its right to reacquire the Technology, pursuant to its rights under the CardioSert Agreement. The Company expects the transfer of the Technology back to CardioSert will occur in the second fiscal quarter of 2024.</w:t>
      </w:r>
    </w:p>
    <w:p>
      <w:pPr>
        <w:spacing w:after="0" w:line="17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84"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420" w:type="dxa"/>
            <w:vAlign w:val="bottom"/>
            <w:gridSpan w:val="3"/>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4200" w:type="dxa"/>
            <w:vAlign w:val="bottom"/>
          </w:tcPr>
          <w:p>
            <w:pPr>
              <w:spacing w:after="0"/>
              <w:rPr>
                <w:sz w:val="24"/>
                <w:szCs w:val="24"/>
                <w:color w:val="auto"/>
              </w:rPr>
            </w:pPr>
          </w:p>
        </w:tc>
        <w:tc>
          <w:tcPr>
            <w:tcW w:w="302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Interim Consolidated Balance Sheets</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4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gridSpan w:val="5"/>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200" w:type="dxa"/>
            <w:vAlign w:val="bottom"/>
          </w:tcPr>
          <w:p>
            <w:pPr>
              <w:spacing w:after="0"/>
              <w:rPr>
                <w:sz w:val="24"/>
                <w:szCs w:val="24"/>
                <w:color w:val="auto"/>
              </w:rPr>
            </w:pPr>
          </w:p>
        </w:tc>
        <w:tc>
          <w:tcPr>
            <w:tcW w:w="302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(Except share and per share data)</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5"/>
        </w:trPr>
        <w:tc>
          <w:tcPr>
            <w:tcW w:w="4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2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Audited</w:t>
            </w:r>
          </w:p>
        </w:tc>
        <w:tc>
          <w:tcPr>
            <w:tcW w:w="100" w:type="dxa"/>
            <w:vAlign w:val="bottom"/>
            <w:gridSpan w:val="2"/>
          </w:tcPr>
          <w:p>
            <w:pPr>
              <w:spacing w:after="0"/>
              <w:rPr>
                <w:sz w:val="18"/>
                <w:szCs w:val="18"/>
                <w:color w:val="auto"/>
              </w:rPr>
            </w:pPr>
          </w:p>
        </w:tc>
      </w:tr>
      <w:tr>
        <w:trPr>
          <w:trHeight w:val="216"/>
        </w:trPr>
        <w:tc>
          <w:tcPr>
            <w:tcW w:w="5400" w:type="dxa"/>
            <w:vAlign w:val="bottom"/>
            <w:gridSpan w:val="3"/>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2,468</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2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w:t>
            </w:r>
          </w:p>
        </w:tc>
        <w:tc>
          <w:tcPr>
            <w:tcW w:w="8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r>
      <w:tr>
        <w:trPr>
          <w:trHeight w:val="198"/>
        </w:trPr>
        <w:tc>
          <w:tcPr>
            <w:tcW w:w="54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Insurance recovery receivable related to legal settlement and legal</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8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3G</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20"/>
                <w:szCs w:val="20"/>
                <w:color w:val="auto"/>
              </w:rPr>
            </w:pPr>
          </w:p>
        </w:tc>
      </w:tr>
      <w:tr>
        <w:trPr>
          <w:trHeight w:val="249"/>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03"/>
        </w:trPr>
        <w:tc>
          <w:tcPr>
            <w:tcW w:w="5400" w:type="dxa"/>
            <w:vAlign w:val="bottom"/>
            <w:tcBorders>
              <w:top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7,000</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7,921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49"/>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57"/>
        </w:trPr>
        <w:tc>
          <w:tcPr>
            <w:tcW w:w="5400" w:type="dxa"/>
            <w:vAlign w:val="bottom"/>
            <w:tcBorders>
              <w:top w:val="single" w:sz="8" w:color="CCEEFF"/>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4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4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Legal settlement accrual</w:t>
            </w:r>
          </w:p>
        </w:tc>
        <w:tc>
          <w:tcPr>
            <w:tcW w:w="18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3G</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2,211</w:t>
            </w:r>
          </w:p>
        </w:tc>
      </w:tr>
      <w:tr>
        <w:trPr>
          <w:trHeight w:val="250"/>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21"/>
                <w:szCs w:val="21"/>
                <w:color w:val="auto"/>
              </w:rPr>
            </w:pPr>
          </w:p>
        </w:tc>
      </w:tr>
      <w:tr>
        <w:trPr>
          <w:trHeight w:val="203"/>
        </w:trPr>
        <w:tc>
          <w:tcPr>
            <w:tcW w:w="5400" w:type="dxa"/>
            <w:vAlign w:val="bottom"/>
            <w:tcBorders>
              <w:top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1,183</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3,786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1"/>
                <w:szCs w:val="21"/>
                <w:color w:val="auto"/>
              </w:rPr>
            </w:pPr>
          </w:p>
        </w:tc>
      </w:tr>
      <w:tr>
        <w:trPr>
          <w:trHeight w:val="210"/>
        </w:trPr>
        <w:tc>
          <w:tcPr>
            <w:tcW w:w="5400" w:type="dxa"/>
            <w:vAlign w:val="bottom"/>
            <w:tcBorders>
              <w:top w:val="single" w:sz="8" w:color="CCEEFF"/>
              <w:bottom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1,200</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3,826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54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as of</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March 31, 2024 and December 31, 2023; 14,398,964 and 11,707,317</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as of March 31, 2024 and December</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31, 2023, respectively.</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87,894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83,884</w:t>
            </w:r>
          </w:p>
        </w:tc>
      </w:tr>
      <w:tr>
        <w:trPr>
          <w:trHeight w:val="23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(81,872)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(79,501)</w:t>
            </w:r>
          </w:p>
        </w:tc>
      </w:tr>
      <w:tr>
        <w:trPr>
          <w:trHeight w:val="236"/>
        </w:trPr>
        <w:tc>
          <w:tcPr>
            <w:tcW w:w="540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5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ind w:left="432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60" w:type="dxa"/>
            <w:vAlign w:val="bottom"/>
            <w:gridSpan w:val="6"/>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37"/>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Unaudited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(1,169)</w:t>
            </w:r>
          </w:p>
        </w:tc>
        <w:tc>
          <w:tcPr>
            <w:tcW w:w="6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37"/>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16"/>
        </w:trPr>
        <w:tc>
          <w:tcPr>
            <w:tcW w:w="69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w:t>
            </w:r>
          </w:p>
        </w:tc>
      </w:tr>
      <w:tr>
        <w:trPr>
          <w:trHeight w:val="257"/>
        </w:trPr>
        <w:tc>
          <w:tcPr>
            <w:tcW w:w="69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6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(0.17)</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197"/>
        </w:trPr>
        <w:tc>
          <w:tcPr>
            <w:tcW w:w="696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14,055,973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8,013,295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286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4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4180" w:type="dxa"/>
            <w:vAlign w:val="bottom"/>
          </w:tcPr>
          <w:p>
            <w:pPr>
              <w:spacing w:after="0"/>
              <w:rPr>
                <w:sz w:val="21"/>
                <w:szCs w:val="21"/>
                <w:color w:val="auto"/>
              </w:rPr>
            </w:pPr>
          </w:p>
        </w:tc>
        <w:tc>
          <w:tcPr>
            <w:tcW w:w="286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7"/>
        </w:trPr>
        <w:tc>
          <w:tcPr>
            <w:tcW w:w="4180" w:type="dxa"/>
            <w:vAlign w:val="bottom"/>
          </w:tcPr>
          <w:p>
            <w:pPr>
              <w:spacing w:after="0"/>
              <w:rPr>
                <w:sz w:val="20"/>
                <w:szCs w:val="20"/>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gridSpan w:val="2"/>
          </w:tcPr>
          <w:p>
            <w:pPr>
              <w:spacing w:after="0"/>
              <w:rPr>
                <w:sz w:val="20"/>
                <w:szCs w:val="20"/>
                <w:color w:val="auto"/>
              </w:rPr>
            </w:pP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7,890,628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75,970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(68,761)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7,289</w:t>
            </w:r>
          </w:p>
        </w:tc>
        <w:tc>
          <w:tcPr>
            <w:tcW w:w="80" w:type="dxa"/>
            <w:vAlign w:val="bottom"/>
            <w:shd w:val="clear" w:color="auto" w:fill="CCEEFF"/>
          </w:tcPr>
          <w:p>
            <w:pPr>
              <w:spacing w:after="0"/>
              <w:rPr>
                <w:sz w:val="18"/>
                <w:szCs w:val="18"/>
                <w:color w:val="auto"/>
              </w:rPr>
            </w:pPr>
          </w:p>
        </w:tc>
      </w:tr>
      <w:tr>
        <w:trPr>
          <w:trHeight w:val="198"/>
        </w:trPr>
        <w:tc>
          <w:tcPr>
            <w:tcW w:w="4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r>
      <w:tr>
        <w:trPr>
          <w:trHeight w:val="237"/>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(2,853)</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(2,853)</w:t>
            </w:r>
          </w:p>
        </w:tc>
      </w:tr>
      <w:tr>
        <w:trPr>
          <w:trHeight w:val="229"/>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2023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8,130,628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11,707,317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83,884</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(79,501)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4,501</w:t>
            </w:r>
          </w:p>
        </w:tc>
        <w:tc>
          <w:tcPr>
            <w:tcW w:w="80" w:type="dxa"/>
            <w:vAlign w:val="bottom"/>
            <w:shd w:val="clear" w:color="auto" w:fill="CCEEFF"/>
          </w:tcPr>
          <w:p>
            <w:pPr>
              <w:spacing w:after="0"/>
              <w:rPr>
                <w:sz w:val="18"/>
                <w:szCs w:val="18"/>
                <w:color w:val="auto"/>
              </w:rPr>
            </w:pPr>
          </w:p>
        </w:tc>
      </w:tr>
      <w:tr>
        <w:trPr>
          <w:trHeight w:val="198"/>
        </w:trPr>
        <w:tc>
          <w:tcPr>
            <w:tcW w:w="4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1,685,682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2,380</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2,397</w:t>
            </w:r>
          </w:p>
        </w:tc>
        <w:tc>
          <w:tcPr>
            <w:tcW w:w="80" w:type="dxa"/>
            <w:vAlign w:val="bottom"/>
          </w:tcPr>
          <w:p>
            <w:pPr>
              <w:spacing w:after="0"/>
              <w:rPr>
                <w:sz w:val="20"/>
                <w:szCs w:val="20"/>
                <w:color w:val="auto"/>
              </w:rPr>
            </w:pP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relating to settlement</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 (**)</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1,005,965</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529</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r>
      <w:tr>
        <w:trPr>
          <w:trHeight w:val="249"/>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(2,371)</w:t>
            </w:r>
          </w:p>
        </w:tc>
      </w:tr>
      <w:tr>
        <w:trPr>
          <w:trHeight w:val="217"/>
        </w:trPr>
        <w:tc>
          <w:tcPr>
            <w:tcW w:w="4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March 31, 2024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14,398,964</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87,894</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(81,872</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Net of issuance costs in the amount of $333.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Note 3G.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380" w:type="dxa"/>
            <w:vAlign w:val="bottom"/>
            <w:gridSpan w:val="6"/>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9"/>
              </w:rPr>
              <w:t>Interim Consolidated Statements of Cash Flows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Unaudited</w:t>
            </w: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(2,371)</w:t>
            </w:r>
          </w:p>
        </w:tc>
        <w:tc>
          <w:tcPr>
            <w:tcW w:w="154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Insurance recovery related to legal settlement and legal expenses received in cash</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paid in cash</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bottom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8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(2,420</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(3,203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(5,120)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Proceeds from sales of a marketable securities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237"/>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 term deposit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2,397</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2,517</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2,519</w:t>
            </w:r>
          </w:p>
        </w:tc>
        <w:tc>
          <w:tcPr>
            <w:tcW w:w="0" w:type="dxa"/>
            <w:vAlign w:val="bottom"/>
          </w:tcPr>
          <w:p>
            <w:pPr>
              <w:spacing w:after="0"/>
              <w:rPr>
                <w:sz w:val="1"/>
                <w:szCs w:val="1"/>
                <w:color w:val="auto"/>
              </w:rPr>
            </w:pPr>
          </w:p>
        </w:tc>
      </w:tr>
      <w:tr>
        <w:trPr>
          <w:trHeight w:val="230"/>
        </w:trPr>
        <w:tc>
          <w:tcPr>
            <w:tcW w:w="680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6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4"/>
                <w:szCs w:val="24"/>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40</w:t>
            </w:r>
          </w:p>
        </w:tc>
        <w:tc>
          <w:tcPr>
            <w:tcW w:w="154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6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w:t>
            </w:r>
          </w:p>
        </w:tc>
        <w:tc>
          <w:tcPr>
            <w:tcW w:w="154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Legal settlement settled through issuance of common stock</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0" w:type="dxa"/>
            <w:vAlign w:val="bottom"/>
            <w:tcBorders>
              <w:bottom w:val="single" w:sz="8" w:color="CCEEFF"/>
            </w:tcBorders>
            <w:gridSpan w:val="3"/>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1,111</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420" w:type="dxa"/>
            <w:vAlign w:val="bottom"/>
            <w:tcBorders>
              <w:bottom w:val="single" w:sz="8" w:color="auto"/>
            </w:tcBorders>
          </w:tcPr>
          <w:p>
            <w:pPr>
              <w:jc w:val="right"/>
              <w:ind w:right="1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800" w:type="dxa"/>
            <w:vAlign w:val="bottom"/>
            <w:tcBorders>
              <w:bottom w:val="single" w:sz="8" w:color="CCEEFF"/>
            </w:tcBorders>
            <w:gridSpan w:val="3"/>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Accrued bonus settled through grant of stock-option awards</w:t>
            </w: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March 31, 2024, the Company had cash equivalents and marketable securities balance of approximately $6,349, excluding restricted cash. Due to continuing research and development activities, the Company expects to continue to incur additional losses for the foreseeable future. The Company implemented a cost reduction program in May 2023, and consummated capital raises in May, June 2023 and in January 2024.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these conditions raise substantial doubt about the Company’s ability to continue as a going concern.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 in Israel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operations are primarily based, suffered a surprise attack by hostile forces from Gaza, which led to the declaration by Israel of the “Iron Swords” military operation. This military operation and related activities are on-going as of the issuance date of these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the Quarterly Report on Form 10-Q of which these financial statements are a part,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Unaudited Interim Financial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results for the three-month period ended March 31, 2024 are not necessarily indicative of the results that may be expected for the year ending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followed in the preparation of these unaudited interim consolidated financial statements are identical to those applied in the preparation of the Company’s latest annual audited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receivables and other accounts payable and accrued liabilities approximate their fair value due to the short-term maturity of these instruments.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the Company’s financial assets subject to fair value measurement and the level of inputs used in such measurements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16"/>
        </w:trPr>
        <w:tc>
          <w:tcPr>
            <w:tcW w:w="5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2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5,187</w:t>
            </w:r>
          </w:p>
        </w:tc>
        <w:tc>
          <w:tcPr>
            <w:tcW w:w="4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5,187</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3"/>
        </w:trPr>
        <w:tc>
          <w:tcPr>
            <w:tcW w:w="52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16"/>
        </w:trPr>
        <w:tc>
          <w:tcPr>
            <w:tcW w:w="5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820" w:type="dxa"/>
            <w:vAlign w:val="bottom"/>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2,497</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2,497</w:t>
            </w:r>
          </w:p>
        </w:tc>
        <w:tc>
          <w:tcPr>
            <w:tcW w:w="102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1,420</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1,420</w:t>
            </w:r>
          </w:p>
        </w:tc>
        <w:tc>
          <w:tcPr>
            <w:tcW w:w="10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3"/>
              </w:rPr>
              <w:t>3,917</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3"/>
              </w:rPr>
              <w:t>3,917</w:t>
            </w: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5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F-41</w:t>
            </w: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21" w:name="page122"/>
    <w:bookmarkEnd w:id="121"/>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March 31, 2024 and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expense for an equity classified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If no explicit service period is determined, the Company estimates the implicit service period based on the timing the employee is expected to achieve the related performance condition.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no future services are required to be performed by the grantee in exchange for an award of equity instruments, and if such award does not contain a performance or market condition, the cost of the award is expensed on the grant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expected stock option term is calculated for stock options granted using the “simplified” method. Changes in the determination of each of the inputs can affect the fair value of the stock options granted and the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Government grants: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March 31, 2024 totaling approximately $1,878. This amount includes amounts received in the first quarter of 2024 of approximately $74, which is a portion of an additional grant from the IIA in the amount of approximately NIS 1,620,000 (approximately $447)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3.0%-5% of its future sales of the products relating to such grants.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 As of March 31, 2024, the Company received approximately $50 of such grant. In relation with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TRDF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w:t>
      </w:r>
    </w:p>
    <w:p>
      <w:pPr>
        <w:jc w:val="both"/>
        <w:spacing w:after="0" w:line="221" w:lineRule="auto"/>
        <w:rPr>
          <w:sz w:val="20"/>
          <w:szCs w:val="20"/>
          <w:color w:val="auto"/>
        </w:rPr>
      </w:pPr>
      <w:r>
        <w:rPr>
          <w:rFonts w:ascii="Times New Roman" w:cs="Times New Roman" w:eastAsia="Times New Roman" w:hAnsi="Times New Roman"/>
          <w:sz w:val="18"/>
          <w:szCs w:val="18"/>
          <w:color w:val="auto"/>
        </w:rPr>
        <w:t>(SCS) project and its TipCat assets in addition to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3" w:name="page124"/>
    <w:bookmarkEnd w:id="123"/>
    <w:p>
      <w:pPr>
        <w:jc w:val="both"/>
        <w:spacing w:after="0" w:line="269" w:lineRule="auto"/>
        <w:rPr>
          <w:sz w:val="20"/>
          <w:szCs w:val="20"/>
          <w:color w:val="auto"/>
        </w:rPr>
      </w:pPr>
      <w:r>
        <w:rPr>
          <w:rFonts w:ascii="Times New Roman" w:cs="Times New Roman" w:eastAsia="Times New Roman" w:hAnsi="Times New Roman"/>
          <w:sz w:val="18"/>
          <w:szCs w:val="18"/>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 As a result, as of the date of these financial statements, the License Agreement is limited to the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Agreement with CardioSert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its core-business focus program and its cost reduction plan enacted in May 2023, the Company terminated the CardioSert Agreement effective as of August 17, 2023 in accordance with its terms and ceased its research and development and commercialization efforts for, and maintaining, the Technology, which resulted in CardioSert triggering on March 3, 2024 its right to reacquire the Technology for nominal consideration. The Company expects the transfer of the Technology back to CardioSert will occur in the second fiscal quarter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ATM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To date, we have not sold any shares of common stock pursuant to the ATM Agreement, and as of October 13, 2022, the Company suspended the ATM Agreement, which otherwise remains in full force and effect subject to reactivation.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Engagement letters with H.C. Wainwright: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registered direct and private placement offerings, the Company entered into engagement letters (the “Engagement Letters”) with Wainwright on October 3, 2022, on May 16, 2023 and on October 24, 2023, pursuant to which Wainwright agreed to serve as the exclusive placement agent for the issuance and sale of securities of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Acquisition of Nitiloop’s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4" w:name="page125"/>
    <w:bookmarkEnd w:id="124"/>
    <w:p>
      <w:pPr>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Company’s analysis, the Company concluded that the acquisition of the assets does not meet the definition of a business for the purpose of applying SEC Rules (S-X Rules of 3-05, 8-04 and 11-01).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Litigation resulting from the 2017 financing: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26, 2024 (the “Effective Date”), the Company entered into a settlement agreement and release with the Plaintiffs (the “Settlement Agreement”), effectively resolving the Lawsuit.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Settlement Agreement, the Company paid $2,154 consisting of a cash payment of $1,100, covered by the Company’s insurance company, and 1,005,965 shares of restricted common stock which were subsequently registered for resale. Furthermore, the Company’s insurance company is responsible for covering legal expenses incurred by the Company in relation to the legal proceedings of the Lawsuit. In February 2024, the Plaintiffs filed a stipulation discontinuing the Lawsuit with prejudice.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 loss contingency should be recognized as non-operating losses, offset by loss recoveries received from the Company’s insurance company</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Settlement Agreement and the insurance recovery received from the insurance company, as of December 31, 2023, the Company recorded a liability and an asset on its balance sheet totaling $2,211 and $1,335, respectively. Within this asset, $1,100 represents the recovery of the cash payment of the settlement amount, and $235 represents recovery of legal expenses. A net non-operating loss of $1,111 from legal settlement was reflected in the Company’s statement of comprehensive loss for the year ended December 31, 2023. In the first quarter of 2024, the Company received $1,335 from the insurance company, subsequently closing the asset recorded as of December 31, 2023. Additionally, during the first quarter of 2024, the Company paid the settlement amount by transferring $1,100 to the Plaintiffs and issuing 1,005,965 shares of the Company’s common stock, thereby closing the liability recorded as of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Mona litigation: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5" w:name="page126"/>
    <w:bookmarkEnd w:id="125"/>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2021, the Court entered a judgment against Mona and in favor of the Company in the amount of approximately $485. Collection of the judgment was deferred pending resolution of Mona’s counterclaim.</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22, 2023, the District Court dismissed the Section 10(b) counterclaim in its entirety. After the Company initiated efforts to execute on the $485 judgment against Mona (the “Judgment”), Mona urged the Court to decide the motion to vacate the 16(b) Judgment on the grounds that the Company purportedly lacks Constitutional standing to bring this case, which he originally filed prior to the final dismissal of his 10(b) counterclaim. On January 30, 2024, a Report &amp; Recommendation was issued that the motion be denied, which the Court adopted in the entirety in an Order on March 5, 2024. Mona has purported to appeal that denial. The Company believes Mona’s purported appeal is untimely and substantively meritless.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Court has permitted the Company’s ongoing execution efforts to continue notwithstanding Mona’s purported appeal of the Court’s denial of Mona’s subsequent motion to vacate the Judgment. As of May 10, 2024, Mona posted a bond in the full amount of the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Contingent bonus commitments based on future capital raising: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February 2024, the Compensation Committee of the Board of Directors of the Company approved certain bonuses contingent on future capital raising efforts. These bonuses, associated with the fiscal year ended December 31, 2023, are detailed as follows: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CEO is entitled to a contingent cash bonus of approximately $298, which is divided into two contingent portions. The first 50% of the CEO’s contingent bonus ($149) is payable upon the Company raising at least $3,000 in new funds by June 30, 2024. The remaining 50% ($149), payable upon the Company raising at least $6,000 in new funds by September 30, 2024 (cumulative, so if $3,000 is not raised by June 30, 2024 but the full $6,000 is raised by September 30, 2024, the full amount is payable).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executives are entitled to a contingent total bonus of NIS 230,736 (approximately $60), which is payable upon the Company raising at least $3,000 in new funds by September 30, 2024. The Company’s management is unable to predict the likelihood of securing additional capital; therefore, as of March 31, 2024, the Company has not recorded a liability for any contingent bonus.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 developments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had, respectively, 14,398,964 and 11,707,317 shares of common stock issued and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Preferred investment options inducement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received aggregate gross proceeds of approximately $2,730 from the exercise of the Existing Investment Options by the Holders and the sale of the Inducement Investment Options, before deducting placement agent fees and other offering expenses of approximately $333. The Company also issued to Wainwright or its designees preferred investment options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C. Equity component of settlement amount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Settlement Agreement (refer to Note 3G above), the Company issued 1,005,965 shares of the Company’s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Equity classification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of the Company are recognized as equity under the requirements of ASC Topic 505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analyzed the accounting treatment for the series E preferred investment options and concluded that they should be classified as equity.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analyzed the accounting treatment for the preferred investment options issued to Wainwright. Since the Company did not identify any features causing liability classification according to ASC 718, it concluded that all such preferred investment options are equity-classified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Employee Stock Option Grants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the CEO, certain executives and certain employees, fully vested options to purchase an aggregate of 130,000 shares of the Company’s common stock, at an exercise price per share of $1.2684, attributable to performance goals achieved in January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granted the CEO and other executives, options to purchase an aggregate of 132,500 shares of the Company’s common stock at an exercise price per share of $1.25, with vesting based on meeting certain performance conditions in the year 2024. The Company’s management believes that meeting the performance conditions is tied to the Company’s ability to secure additional capital. Therefore, as of March 31, 2024, the Company has not recorded any expense related to this performance condition grant.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the Company granted the CEO and certain employees and advisors, options to purchase an aggregate of 195,000 shares of the Company’s common stock, at an exercise price per share of $1.2684, with a vesting period of three years. Regarding the CEO’s 2023 annual bonus, in February 2024, the Company paid the CEO 25% of his 2023 annual bonus, amounting to approximately $99, through the grant of fully vested options to purchase an aggregate of 79,567 shares of the Company’s common stock with an exercise price per share of $1.25.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paid or payable by us in connection with the sale of the common stock being registered. None of these costs or expenses will be borne by the selling stockholders. All amounts shown are estimates except for the Securities and Exchange Commission, or “SEC,” registration fee.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 Paid</w:t>
            </w:r>
          </w:p>
        </w:tc>
      </w:tr>
      <w:tr>
        <w:trPr>
          <w:trHeight w:val="245"/>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320" w:type="dxa"/>
            <w:vAlign w:val="bottom"/>
          </w:tcPr>
          <w:p>
            <w:pPr>
              <w:spacing w:after="0"/>
              <w:rPr>
                <w:sz w:val="21"/>
                <w:szCs w:val="21"/>
                <w:color w:val="auto"/>
              </w:rPr>
            </w:pPr>
          </w:p>
        </w:tc>
        <w:tc>
          <w:tcPr>
            <w:tcW w:w="19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or to be Paid</w:t>
            </w:r>
          </w:p>
        </w:tc>
      </w:tr>
      <w:tr>
        <w:trPr>
          <w:trHeight w:val="216"/>
        </w:trPr>
        <w:tc>
          <w:tcPr>
            <w:tcW w:w="8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320" w:type="dxa"/>
            <w:vAlign w:val="bottom"/>
          </w:tcPr>
          <w:p>
            <w:pPr>
              <w:spacing w:after="0"/>
              <w:rPr>
                <w:sz w:val="18"/>
                <w:szCs w:val="18"/>
                <w:color w:val="auto"/>
              </w:rPr>
            </w:pP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2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20" w:type="dxa"/>
            <w:vAlign w:val="bottom"/>
          </w:tcPr>
          <w:p>
            <w:pPr>
              <w:spacing w:after="0"/>
              <w:rPr>
                <w:sz w:val="18"/>
                <w:szCs w:val="18"/>
                <w:color w:val="auto"/>
              </w:rPr>
            </w:pP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7,500.00*</w:t>
            </w:r>
          </w:p>
        </w:tc>
      </w:tr>
      <w:tr>
        <w:trPr>
          <w:trHeight w:val="249"/>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320" w:type="dxa"/>
            <w:vAlign w:val="bottom"/>
            <w:shd w:val="clear" w:color="auto" w:fill="CCEEFF"/>
          </w:tcPr>
          <w:p>
            <w:pPr>
              <w:spacing w:after="0"/>
              <w:rPr>
                <w:sz w:val="21"/>
                <w:szCs w:val="21"/>
                <w:color w:val="auto"/>
              </w:rPr>
            </w:pP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5,973.81*</w:t>
            </w:r>
          </w:p>
        </w:tc>
      </w:tr>
      <w:tr>
        <w:trPr>
          <w:trHeight w:val="217"/>
        </w:trPr>
        <w:tc>
          <w:tcPr>
            <w:tcW w:w="9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8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as permitted under Item 511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any underwriting agreement we enter into in connection with the sale of common stock being registered hereby, the underwriter will agree to indemnify, under certain conditions, us, our directors, our officers and persons who control us within the meaning of the Securities Act of 1933, as amended, against certain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18, 2020, 14,685 outstanding warrants of the Company at an exercise price per share of $8.125, were exercised on a “net exercise” or “cashless” basis into 4,873 shares of common stock. The issuances of the 4,873 shares of common stock were exempt from registration under Section 4(a)(2) under the Securities Act of 1933, as amended and the rules promulgated thereunder (the “Securities Act”) as a transaction not involving a public offering to a single investor, and/or 3(a)(9) under the Securities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312" w:gutter="0" w:footer="0" w:header="0"/>
        </w:sectPr>
      </w:pPr>
    </w:p>
    <w:bookmarkStart w:id="128" w:name="page129"/>
    <w:bookmarkEnd w:id="128"/>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25, 2022, the Company sold in a private placement and issued to an investor (i) Series A preferred investment options to purchase up to 1,022,495 shares of Common Stock (the “Series A Warrants”) at an exercise price of $4.64 per share and (ii) Series B preferred investment options to purchase up to 1,022,495 shares of Common Stock (the “Series B Warrants” and, together with the Series A Warrants, the “Common Warrants”) at an exercise price of $4.64 per share. The Common Warrants and the shares of Common Stock issuable upon the exercise of the Common Warrants were offered pursuant to the exemption provided in Section 4(a)(2) under the Securities Act, and Rule 506(b) promulgated thereunder. In connection with such private placement, the Company issued to the placement agent or its designees warrants to purchase 51,125 shares of Common Stock at an exercise price of $6.1125 per share. Such placement agent warrants and the shares of Common Stock issuable upon the exercise of the placement agent warrants were offered pursuant to the exemption provided in Section 4(a)(2) under the Securities Act.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23, 2023, in connection with a public offering of its securities, the Company issued to the placement agent or its designees warrants to purchase 32,778 shares of Common Stock at an exercise price of $2.75 per share. Such placement agent warrants and the shares of Common Stock issuable upon the exercise of the Common Warrants were offered pursuant to the exemption provided in Section 4(a)(2)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24, 2023, in connection with a public offering of its securities, the Company issued to the placement agent or its designees warrants to purchase 60,476 shares of Common Stock at an exercise price of $2.75 per share. Such placement agent warrants and the shares of Common Stock issuable upon the exercise of the Common Warrants were offered pursuant to the exemption provided in Section 4(a)(2) under the Securities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6, 2023, the Company sold in a private placement and issued to an investor Series C preferred investment options to purchase up to 350,878 shares of Common Stock at an exercise price of $2.075 per share. Such Series C preferred investment options and the shares of Common Stock issuable upon the exercise of the Series C preferred investment options were offered pursuant to the exemption provided in Section 4(a)(2) under the Securities Act, and Rule 506(b) promulgated thereunder. In connection with such private placement, the Company issued to the placement agent or its designees warrants to purchase 35,088 shares of Common Stock at an exercise price of $2.6719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16, 2023, the Company issued 385,246 to the holder of the Company’s Series B preferred investment options pursuant to the cashless exercise provision therein. Such shares of Common Stock issuable upon the exercise of the Series B preferred investment options were offered pursuant to the exemption provided in Section 4(a)(2) under the Securities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28, 2023, the Company sold in a private placement and issued to an investor Series D preferred investment options to purchase up to 312,309 shares of Common Stock at an exercise price of $3.19 per share. Such Series D preferred investment options and the shares of Common Stock issuable upon the exercise of the Series D preferred investment options were offered pursuant to the exemption provided in Section 4(a)(2) under the Securities Act, and Rule 506(b) promulgated thereunder. In connection with such private placement, the Company issued to the placement agent or its designees warrants to purchase 31,231 shares of Common Stock at an exercise price of $4.0625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 2024, the Company issued, in a private placement, Series E preferred investment options to purchase up to 1,685,682 shares of Common Stock at an exercise price per share of $1.50, pursuant to a preferred investment option exercise inducement offer, to the holders of certain outstanding preferred investment options of the Company. Such Series D preferred investment options and the shares of Common Stock issuable upon the exercise of the Series D preferred investment options were offered pursuant to the exemption provided in Section 4(a)(2) under the Securities Act. In connection with the inducement offer, the Company issued to the placement agent or its designees warrants to purchase an aggregate of 84,284 shares of Common Stock at an exercise price of $2.025 per share. Such placement agent warrants and the shares of Common Stock issuable upon the exercise of the placement agent warrants were offered pursuant to the exemption provided in Section 4(a)(2) under the Securities Act.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January 26, 2024, the Company issued an aggregate of 1,005,965 shares of restricted Common Stock (the “Settlement Shares”), as partial settlement to the plaintiffs in the lawsuit entitled Empery Asset Master Ltd., Empery Tax Efficient, LP, Empery Tax Efficient II, LP, Hudson Bay Master Fund Ltd., Plaintiffs, against Microbot Medical Inc., Defendant, in the Supreme Court of the State of New York, County of New York (Index No. 651182/2020). The Settlement Shares were issued pursuant to the exemption from the registration requirements of the Securities Act available under Section 4(a)(2) as a transaction by an issuer not involving any public offering.</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4, 2024, the Company sold in a private placement and issued to investors Series F preferred investment options to purchase up to 3,133,338 shares of Common Stock at an exercise price of $1.50 per share. Such Series F preferred investment options and the shares of Common Stock issuable upon the exercise of the Series F preferred investment options were offered pursuant to the exemption provided in Section 4(a)(2) under the Securities Act, and Rule 506(b) promulgated thereunder. In connection with such private placement, the Company issued to the placement agent or its designees warrants to purchase 78,333 shares of Common Stock at an exercise price of $1.875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5" w:lineRule="exact"/>
        <w:rPr>
          <w:sz w:val="20"/>
          <w:szCs w:val="20"/>
          <w:color w:val="auto"/>
        </w:rPr>
      </w:pPr>
    </w:p>
    <w:p>
      <w:pPr>
        <w:ind w:left="1300" w:hanging="968"/>
        <w:spacing w:after="0"/>
        <w:tabs>
          <w:tab w:leader="none" w:pos="13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set forth below are filed herewith or incorporated by reference to the location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0" w:type="dxa"/>
            <w:vAlign w:val="bottom"/>
            <w:gridSpan w:val="13"/>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76"/>
        </w:trPr>
        <w:tc>
          <w:tcPr>
            <w:tcW w:w="9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15"/>
                <w:szCs w:val="15"/>
                <w:color w:val="auto"/>
              </w:rPr>
            </w:pPr>
          </w:p>
        </w:tc>
        <w:tc>
          <w:tcPr>
            <w:tcW w:w="10120" w:type="dxa"/>
            <w:vAlign w:val="bottom"/>
            <w:tcBorders>
              <w:top w:val="single" w:sz="8" w:color="auto"/>
              <w:bottom w:val="single" w:sz="8" w:color="0000EE"/>
            </w:tcBorders>
            <w:gridSpan w:val="24"/>
          </w:tcPr>
          <w:p>
            <w:pPr>
              <w:spacing w:after="0" w:line="17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Agreement and Plan of Merger and Reorganization, dated as of August 15, 2016, by and among StemCells, Inc., C&amp;RD Israel Ltd. and</w:t>
              </w:r>
            </w:hyperlink>
          </w:p>
        </w:tc>
        <w:tc>
          <w:tcPr>
            <w:tcW w:w="20" w:type="dxa"/>
            <w:vAlign w:val="bottom"/>
            <w:tcBorders>
              <w:bottom w:val="single" w:sz="8" w:color="0000EE"/>
            </w:tcBorders>
          </w:tcPr>
          <w:p>
            <w:pPr>
              <w:spacing w:after="0"/>
              <w:rPr>
                <w:sz w:val="15"/>
                <w:szCs w:val="15"/>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Microbot Medical Ltd. (incorporated by reference to the Company’s Current Report on Form 8-K filed on August 15, 2016).</w:t>
              </w:r>
            </w:hyperlink>
          </w:p>
        </w:tc>
        <w:tc>
          <w:tcPr>
            <w:tcW w:w="1180" w:type="dxa"/>
            <w:vAlign w:val="bottom"/>
            <w:gridSpan w:val="8"/>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Restated Certificate of Incorporation of the Company (incorporated by reference to the Company’s Annual Report on Form 10-K for the</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fiscal year ended December 31, 2006 and filed on March 15, 2007).</w:t>
              </w:r>
            </w:hyperlink>
          </w:p>
        </w:tc>
        <w:tc>
          <w:tcPr>
            <w:tcW w:w="5280" w:type="dxa"/>
            <w:vAlign w:val="bottom"/>
            <w:gridSpan w:val="1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37">
              <w:r>
                <w:rPr>
                  <w:rFonts w:ascii="Times New Roman" w:cs="Times New Roman" w:eastAsia="Times New Roman" w:hAnsi="Times New Roman"/>
                  <w:sz w:val="18"/>
                  <w:szCs w:val="18"/>
                  <w:color w:val="0000EE"/>
                  <w:w w:val="98"/>
                </w:rPr>
                <w:t>Report on Form 8-K filed on November 29, 2016).</w:t>
              </w:r>
            </w:hyperlink>
          </w:p>
        </w:tc>
        <w:tc>
          <w:tcPr>
            <w:tcW w:w="6480" w:type="dxa"/>
            <w:vAlign w:val="bottom"/>
            <w:gridSpan w:val="15"/>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8-K filed on September 4, 2018).</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Amended and Restated By-Laws of the Company (incorporated by reference to the Company’s Current Report on Form 8-K filed on May 3,</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0"/>
              </w:rPr>
            </w:pPr>
            <w:hyperlink r:id="rId139">
              <w:r>
                <w:rPr>
                  <w:rFonts w:ascii="Times New Roman" w:cs="Times New Roman" w:eastAsia="Times New Roman" w:hAnsi="Times New Roman"/>
                  <w:sz w:val="18"/>
                  <w:szCs w:val="18"/>
                  <w:color w:val="0000EE"/>
                  <w:w w:val="90"/>
                </w:rPr>
                <w:t>2016).</w:t>
              </w:r>
            </w:hyperlink>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3.5</w:t>
            </w:r>
          </w:p>
        </w:tc>
        <w:tc>
          <w:tcPr>
            <w:tcW w:w="140" w:type="dxa"/>
            <w:vAlign w:val="bottom"/>
          </w:tcPr>
          <w:p>
            <w:pPr>
              <w:spacing w:after="0"/>
              <w:rPr>
                <w:sz w:val="17"/>
                <w:szCs w:val="17"/>
                <w:color w:val="auto"/>
              </w:rPr>
            </w:pPr>
          </w:p>
        </w:tc>
        <w:tc>
          <w:tcPr>
            <w:tcW w:w="93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Certificate of Elimination (incorporated by reference to the Company’s Current Report on Form 8-K filed on December 12, 2018).</w:t>
              </w:r>
            </w:hyperlink>
          </w:p>
        </w:tc>
        <w:tc>
          <w:tcPr>
            <w:tcW w:w="760" w:type="dxa"/>
            <w:vAlign w:val="bottom"/>
            <w:gridSpan w:val="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3.6</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8-K filed on September 11, 2019).</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3.7</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Amendment to Section 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42">
              <w:r>
                <w:rPr>
                  <w:rFonts w:ascii="Times New Roman" w:cs="Times New Roman" w:eastAsia="Times New Roman" w:hAnsi="Times New Roman"/>
                  <w:sz w:val="18"/>
                  <w:szCs w:val="18"/>
                  <w:color w:val="0000EE"/>
                  <w:w w:val="98"/>
                </w:rPr>
                <w:t>Report on Form 8-K filed on May 3, 2021).</w:t>
              </w:r>
            </w:hyperlink>
          </w:p>
        </w:tc>
        <w:tc>
          <w:tcPr>
            <w:tcW w:w="7020" w:type="dxa"/>
            <w:vAlign w:val="bottom"/>
            <w:gridSpan w:val="1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Description of the Company’s Securities (incorporated by reference to the Registrant’s Annual Report on Form 10-K for the fiscal year</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43">
              <w:r>
                <w:rPr>
                  <w:rFonts w:ascii="Times New Roman" w:cs="Times New Roman" w:eastAsia="Times New Roman" w:hAnsi="Times New Roman"/>
                  <w:sz w:val="18"/>
                  <w:szCs w:val="18"/>
                  <w:color w:val="0000EE"/>
                  <w:w w:val="98"/>
                </w:rPr>
                <w:t>ended December 31, 2019).</w:t>
              </w:r>
            </w:hyperlink>
          </w:p>
        </w:tc>
        <w:tc>
          <w:tcPr>
            <w:tcW w:w="8160" w:type="dxa"/>
            <w:vAlign w:val="bottom"/>
            <w:gridSpan w:val="21"/>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Form of Series A Warrant (incorporated by reference to the Registrant’s Current Report on Form 8-K filed on October 25, 2022)</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17"/>
                <w:szCs w:val="17"/>
                <w:color w:val="auto"/>
              </w:rPr>
            </w:pPr>
          </w:p>
        </w:tc>
        <w:tc>
          <w:tcPr>
            <w:tcW w:w="94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Form of Wainwright Warrant (incorporated by reference to the Registrant’s Current Report on Form 8-K filed on October 25, 2022)</w:t>
              </w:r>
            </w:hyperlink>
          </w:p>
        </w:tc>
        <w:tc>
          <w:tcPr>
            <w:tcW w:w="680" w:type="dxa"/>
            <w:vAlign w:val="bottom"/>
            <w:gridSpan w:val="3"/>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Form of Wainwright Warrant (incorporated by reference to the Registrant’s Current Report on Form 8-K filed on May 23, 2023)</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Form of Wainwright Warrant (incorporated by reference to the Registrant’s Current Report on Form 8-K filed on May 24, 2023)</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4.6</w:t>
            </w:r>
          </w:p>
        </w:tc>
        <w:tc>
          <w:tcPr>
            <w:tcW w:w="140" w:type="dxa"/>
            <w:vAlign w:val="bottom"/>
          </w:tcPr>
          <w:p>
            <w:pPr>
              <w:spacing w:after="0"/>
              <w:rPr>
                <w:sz w:val="17"/>
                <w:szCs w:val="17"/>
                <w:color w:val="auto"/>
              </w:rPr>
            </w:pPr>
          </w:p>
        </w:tc>
        <w:tc>
          <w:tcPr>
            <w:tcW w:w="101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Form of Warrant Amendment Agreement (incorporated by reference to the Registrant’s Current Report on Form 8-K filed on May 24, 2023)</w:t>
              </w:r>
            </w:hyperlink>
          </w:p>
        </w:tc>
        <w:tc>
          <w:tcPr>
            <w:tcW w:w="40" w:type="dxa"/>
            <w:vAlign w:val="bottom"/>
            <w:gridSpan w:val="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4.7</w:t>
            </w:r>
          </w:p>
        </w:tc>
        <w:tc>
          <w:tcPr>
            <w:tcW w:w="140" w:type="dxa"/>
            <w:vAlign w:val="bottom"/>
          </w:tcPr>
          <w:p>
            <w:pPr>
              <w:spacing w:after="0"/>
              <w:rPr>
                <w:sz w:val="17"/>
                <w:szCs w:val="17"/>
                <w:color w:val="auto"/>
              </w:rPr>
            </w:pPr>
          </w:p>
        </w:tc>
        <w:tc>
          <w:tcPr>
            <w:tcW w:w="88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Form of Series C Warrant (incorporated by reference to the Registrant’s Current Report on Form 8-K filed on June 6, 2023)</w:t>
              </w:r>
            </w:hyperlink>
          </w:p>
        </w:tc>
        <w:tc>
          <w:tcPr>
            <w:tcW w:w="1260" w:type="dxa"/>
            <w:vAlign w:val="bottom"/>
            <w:gridSpan w:val="9"/>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4.8</w:t>
            </w:r>
          </w:p>
        </w:tc>
        <w:tc>
          <w:tcPr>
            <w:tcW w:w="140" w:type="dxa"/>
            <w:vAlign w:val="bottom"/>
          </w:tcPr>
          <w:p>
            <w:pPr>
              <w:spacing w:after="0"/>
              <w:rPr>
                <w:sz w:val="17"/>
                <w:szCs w:val="17"/>
                <w:color w:val="auto"/>
              </w:rPr>
            </w:pPr>
          </w:p>
        </w:tc>
        <w:tc>
          <w:tcPr>
            <w:tcW w:w="91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Form of Wainwright Warrant (incorporated by reference to the Registrant’s Current Report on Form 8-K filed on June 6, 2023)</w:t>
              </w:r>
            </w:hyperlink>
          </w:p>
        </w:tc>
        <w:tc>
          <w:tcPr>
            <w:tcW w:w="1020" w:type="dxa"/>
            <w:vAlign w:val="bottom"/>
            <w:gridSpan w:val="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4.9</w:t>
            </w:r>
          </w:p>
        </w:tc>
        <w:tc>
          <w:tcPr>
            <w:tcW w:w="140" w:type="dxa"/>
            <w:vAlign w:val="bottom"/>
          </w:tcPr>
          <w:p>
            <w:pPr>
              <w:spacing w:after="0"/>
              <w:rPr>
                <w:sz w:val="17"/>
                <w:szCs w:val="17"/>
                <w:color w:val="auto"/>
              </w:rPr>
            </w:pPr>
          </w:p>
        </w:tc>
        <w:tc>
          <w:tcPr>
            <w:tcW w:w="89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Form of Series D Warrant (incorporated by reference to the Registrant’s Current Report on Form 8-K filed on June 28, 2023)</w:t>
              </w:r>
            </w:hyperlink>
          </w:p>
        </w:tc>
        <w:tc>
          <w:tcPr>
            <w:tcW w:w="1160" w:type="dxa"/>
            <w:vAlign w:val="bottom"/>
            <w:gridSpan w:val="7"/>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Form of Wainwright Warrant (incorporated by reference to the Registrant’s Current Report on Form 8-K filed on June 28, 2023)</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4.11</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Form of Inducement Investment Option (incorporated by reference to the Registrant’s Current Report on Form 8-K filed on January 2, 2024)</w:t>
              </w:r>
            </w:hyperlink>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2,</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0"/>
              </w:rPr>
            </w:pPr>
            <w:hyperlink r:id="rId154">
              <w:r>
                <w:rPr>
                  <w:rFonts w:ascii="Times New Roman" w:cs="Times New Roman" w:eastAsia="Times New Roman" w:hAnsi="Times New Roman"/>
                  <w:sz w:val="18"/>
                  <w:szCs w:val="18"/>
                  <w:color w:val="0000EE"/>
                  <w:w w:val="90"/>
                </w:rPr>
                <w:t>2024)</w:t>
              </w:r>
            </w:hyperlink>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Form of Series F Preferred Investment Option (incorporated by reference to the Registrant’s Current Report on Form 8-K filed on June 4,</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0"/>
              </w:rPr>
            </w:pPr>
            <w:hyperlink r:id="rId155">
              <w:r>
                <w:rPr>
                  <w:rFonts w:ascii="Times New Roman" w:cs="Times New Roman" w:eastAsia="Times New Roman" w:hAnsi="Times New Roman"/>
                  <w:sz w:val="18"/>
                  <w:szCs w:val="18"/>
                  <w:color w:val="0000EE"/>
                  <w:w w:val="90"/>
                </w:rPr>
                <w:t>2024)</w:t>
              </w:r>
            </w:hyperlink>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Form of Placement Agent Investment Option (incorporated by reference to the Registrant’s Current Report on Form 8-K filed on June 4,</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0"/>
              </w:rPr>
            </w:pPr>
            <w:hyperlink r:id="rId156">
              <w:r>
                <w:rPr>
                  <w:rFonts w:ascii="Times New Roman" w:cs="Times New Roman" w:eastAsia="Times New Roman" w:hAnsi="Times New Roman"/>
                  <w:sz w:val="18"/>
                  <w:szCs w:val="18"/>
                  <w:color w:val="0000EE"/>
                  <w:w w:val="90"/>
                </w:rPr>
                <w:t>2024)</w:t>
              </w:r>
            </w:hyperlink>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5.1+</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Opinion of Ruskin Moscou Faltischek, PC</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Form of Indemnification Agreement, between the Company and each of its Directors and Officers (incorporated by reference to the</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Company’s Current Report on Form 8-K filed on November 29, 2016).</w:t>
              </w:r>
            </w:hyperlink>
          </w:p>
        </w:tc>
        <w:tc>
          <w:tcPr>
            <w:tcW w:w="5000" w:type="dxa"/>
            <w:vAlign w:val="bottom"/>
            <w:tcBorders>
              <w:top w:val="single" w:sz="8" w:color="0000EE"/>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Employment Agreement with Harel Gadot (incorporated by reference to the Company’s Current Report on Form 8-K filed on November 29,</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0"/>
              </w:rPr>
            </w:pPr>
            <w:hyperlink r:id="rId159">
              <w:r>
                <w:rPr>
                  <w:rFonts w:ascii="Times New Roman" w:cs="Times New Roman" w:eastAsia="Times New Roman" w:hAnsi="Times New Roman"/>
                  <w:sz w:val="18"/>
                  <w:szCs w:val="18"/>
                  <w:color w:val="0000EE"/>
                  <w:w w:val="90"/>
                </w:rPr>
                <w:t>2016).</w:t>
              </w:r>
            </w:hyperlink>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License Agreement, dated June 20, 2012, by and between Technion Research and Development Foundation, and Microbot Medical Ltd.</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(incorporated by reference to the Company’s Annual Report on Form 10-K for the fiscal year ended December 31, 2016 and filed on March</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r:id="rId160">
              <w:r>
                <w:rPr>
                  <w:rFonts w:ascii="Times New Roman" w:cs="Times New Roman" w:eastAsia="Times New Roman" w:hAnsi="Times New Roman"/>
                  <w:sz w:val="18"/>
                  <w:szCs w:val="18"/>
                  <w:color w:val="0000EE"/>
                  <w:w w:val="95"/>
                </w:rPr>
                <w:t>21, 2017).</w:t>
              </w:r>
            </w:hyperlink>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Form of Stock Option Agreement under the Microbot Medical Inc. 2017 Equity Incentive Plan (incorporated by reference to the Company’s</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Quarterly Report on Form 10-Q for the Quarter ended September 30, 2017, filed on November 14, 2017).</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40" w:type="dxa"/>
            <w:vAlign w:val="bottom"/>
            <w:gridSpan w:val="7"/>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40" w:type="dxa"/>
            <w:vAlign w:val="bottom"/>
            <w:gridSpan w:val="3"/>
            <w:shd w:val="clear" w:color="auto" w:fill="0000EE"/>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Agreement, dated January 4, 2018, by and between CardioSert Ltd. and Microbot Medical Ltd. (incorporated by reference to the Company’s</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Current Report on Form 8-K filed on January 8, 2018).</w:t>
              </w:r>
            </w:hyperlink>
          </w:p>
        </w:tc>
        <w:tc>
          <w:tcPr>
            <w:tcW w:w="40" w:type="dxa"/>
            <w:vAlign w:val="bottom"/>
            <w:gridSpan w:val="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40" w:type="dxa"/>
            <w:vAlign w:val="bottom"/>
            <w:gridSpan w:val="7"/>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1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10.6*</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Employment Agreement with Dr. Eyal Morag (incorporated by reference to the Registrant’s Annual Report on Form 10-K for the fiscal year</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ended December 31, 2019 filed on April 14, 2020).</w:t>
              </w:r>
            </w:hyperlink>
          </w:p>
        </w:tc>
        <w:tc>
          <w:tcPr>
            <w:tcW w:w="6460" w:type="dxa"/>
            <w:vAlign w:val="bottom"/>
            <w:gridSpan w:val="1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10.7*</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Microbot Medical Inc. 2017 Equity Incentive Plan (incorporated by reference to Exhibit A of the Company’s Definitive Proxy Statement on</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63">
              <w:r>
                <w:rPr>
                  <w:rFonts w:ascii="Times New Roman" w:cs="Times New Roman" w:eastAsia="Times New Roman" w:hAnsi="Times New Roman"/>
                  <w:sz w:val="18"/>
                  <w:szCs w:val="18"/>
                  <w:color w:val="0000EE"/>
                  <w:w w:val="98"/>
                </w:rPr>
                <w:t>Schedule 14A filed on August 11, 2017).</w:t>
              </w:r>
            </w:hyperlink>
          </w:p>
        </w:tc>
        <w:tc>
          <w:tcPr>
            <w:tcW w:w="7200" w:type="dxa"/>
            <w:vAlign w:val="bottom"/>
            <w:gridSpan w:val="18"/>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10.8*</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Microbot Medical Inc. 2020 Omnibus Performance Award Plan (incorporated by reference to Exhibit A of the Company’s definitive Proxy</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Statement on Schedule 14A filed on July 31, 2020)</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0" w:name="page131"/>
    <w:bookmarkEnd w:id="130"/>
    <w:p>
      <w:pPr>
        <w:jc w:val="both"/>
        <w:ind w:left="1100" w:hanging="809"/>
        <w:spacing w:after="0" w:line="261"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66">
        <w:r>
          <w:rPr>
            <w:rFonts w:ascii="Times New Roman" w:cs="Times New Roman" w:eastAsia="Times New Roman" w:hAnsi="Times New Roman"/>
            <w:sz w:val="18"/>
            <w:szCs w:val="18"/>
            <w:u w:val="single" w:color="auto"/>
            <w:color w:val="0000EE"/>
          </w:rPr>
          <w:t>Form of Restricted Stock Unit Award Agreement under the Microbot Medical Inc. 2020 Omnibus Performance Award Plan (incorporated by</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reference to Exhibit 4.2 of the registration Statement on Form S-8 of the Company filed on November 25, 2020)</w:t>
        </w:r>
      </w:hyperlink>
    </w:p>
    <w:p>
      <w:pPr>
        <w:ind w:left="1100" w:right="2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67">
        <w:r>
          <w:rPr>
            <w:rFonts w:ascii="Times New Roman" w:cs="Times New Roman" w:eastAsia="Times New Roman" w:hAnsi="Times New Roman"/>
            <w:sz w:val="18"/>
            <w:szCs w:val="18"/>
            <w:u w:val="single" w:color="auto"/>
            <w:color w:val="0000EE"/>
          </w:rPr>
          <w:t>Form of NQO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Exhibit 4.3 of the registration Statement on Form S-8 of the Company filed on November 25, 2020)</w:t>
        </w:r>
      </w:hyperlink>
    </w:p>
    <w:p>
      <w:pPr>
        <w:spacing w:after="0" w:line="1" w:lineRule="exact"/>
        <w:rPr>
          <w:sz w:val="20"/>
          <w:szCs w:val="20"/>
          <w:color w:val="auto"/>
        </w:rPr>
      </w:pPr>
    </w:p>
    <w:p>
      <w:pPr>
        <w:ind w:left="1100" w:hanging="850"/>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68">
        <w:r>
          <w:rPr>
            <w:rFonts w:ascii="Times New Roman" w:cs="Times New Roman" w:eastAsia="Times New Roman" w:hAnsi="Times New Roman"/>
            <w:sz w:val="18"/>
            <w:szCs w:val="18"/>
            <w:u w:val="single" w:color="auto"/>
            <w:color w:val="0000EE"/>
          </w:rPr>
          <w:t>Form of Restricted Stock Award Agreement under the Microbot Medical Ltd. 2020 Omnibus Performance Award Plan (incorporated by</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reference to Exhibit 4.4 of the registration Statement on Form S-8 of the Company filed on November 25, 2020)</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69">
        <w:r>
          <w:rPr>
            <w:rFonts w:ascii="Times New Roman" w:cs="Times New Roman" w:eastAsia="Times New Roman" w:hAnsi="Times New Roman"/>
            <w:sz w:val="18"/>
            <w:szCs w:val="18"/>
            <w:u w:val="single" w:color="auto"/>
            <w:color w:val="0000EE"/>
          </w:rPr>
          <w:t>Form of SAR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Exhibit 4.5 of the registration Statement on Form S-8 of the Company filed on November 25, 2020)</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70">
        <w:r>
          <w:rPr>
            <w:rFonts w:ascii="Times New Roman" w:cs="Times New Roman" w:eastAsia="Times New Roman" w:hAnsi="Times New Roman"/>
            <w:sz w:val="18"/>
            <w:szCs w:val="18"/>
            <w:u w:val="single" w:color="auto"/>
            <w:color w:val="0000EE"/>
          </w:rPr>
          <w:t>Form of ISO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Exhibit 4.6 of the registration Statement on Form S-8 of the Company filed on November 25, 2020)</w:t>
        </w:r>
      </w:hyperlink>
    </w:p>
    <w:p>
      <w:pPr>
        <w:spacing w:after="0" w:line="1" w:lineRule="exact"/>
        <w:rPr>
          <w:sz w:val="20"/>
          <w:szCs w:val="20"/>
          <w:color w:val="auto"/>
        </w:rPr>
      </w:pPr>
    </w:p>
    <w:p>
      <w:pPr>
        <w:ind w:left="1100" w:right="2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71">
        <w:r>
          <w:rPr>
            <w:rFonts w:ascii="Times New Roman" w:cs="Times New Roman" w:eastAsia="Times New Roman" w:hAnsi="Times New Roman"/>
            <w:sz w:val="18"/>
            <w:szCs w:val="18"/>
            <w:u w:val="single" w:color="auto"/>
            <w:color w:val="0000EE"/>
          </w:rPr>
          <w:t>Employment Agreement, as of March 31, 2018, with Simon Sharon (incorporated by reference to Exhibit 10.1 of the Company’s Form 8-K</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filed on April 7, 2021)</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72">
        <w:r>
          <w:rPr>
            <w:rFonts w:ascii="Times New Roman" w:cs="Times New Roman" w:eastAsia="Times New Roman" w:hAnsi="Times New Roman"/>
            <w:sz w:val="18"/>
            <w:szCs w:val="18"/>
            <w:u w:val="single" w:color="auto"/>
            <w:color w:val="0000EE"/>
          </w:rPr>
          <w:t>First Amendment to Employment Agreement, dated as of April 19, 2021, with Simon Sharon (incorporated by reference to Exhibit 10.1 of</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the Company’s Form 8-K filed on April 22, 2021)</w:t>
        </w:r>
      </w:hyperlink>
    </w:p>
    <w:p>
      <w:pPr>
        <w:spacing w:after="0" w:line="1" w:lineRule="exact"/>
        <w:rPr>
          <w:sz w:val="20"/>
          <w:szCs w:val="20"/>
          <w:color w:val="auto"/>
        </w:rPr>
      </w:pPr>
    </w:p>
    <w:p>
      <w:pPr>
        <w:jc w:val="both"/>
        <w:ind w:left="1100" w:right="2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73">
        <w:r>
          <w:rPr>
            <w:rFonts w:ascii="Times New Roman" w:cs="Times New Roman" w:eastAsia="Times New Roman" w:hAnsi="Times New Roman"/>
            <w:sz w:val="18"/>
            <w:szCs w:val="18"/>
            <w:u w:val="single" w:color="auto"/>
            <w:color w:val="0000EE"/>
          </w:rPr>
          <w:t>At the Market Offering Agreement, dated June 10, 2021, by and between Microbot Medical Inc. and H.C. Wainwright &amp; Co., LLC</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(incorporated by reference to Exhibit 10.1 of the Company’s Form 8-K filed on June 10, 2021)</w:t>
        </w:r>
      </w:hyperlink>
    </w:p>
    <w:p>
      <w:pPr>
        <w:spacing w:after="0" w:line="1" w:lineRule="exact"/>
        <w:rPr>
          <w:sz w:val="20"/>
          <w:szCs w:val="20"/>
          <w:color w:val="auto"/>
        </w:rPr>
      </w:pPr>
    </w:p>
    <w:p>
      <w:pPr>
        <w:ind w:left="30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74">
        <w:r>
          <w:rPr>
            <w:rFonts w:ascii="Times New Roman" w:cs="Times New Roman" w:eastAsia="Times New Roman" w:hAnsi="Times New Roman"/>
            <w:sz w:val="18"/>
            <w:szCs w:val="18"/>
            <w:u w:val="single" w:color="auto"/>
            <w:color w:val="0000EE"/>
          </w:rPr>
          <w:t>Asset Purchase Agreement with Nitiloop, Ltd. dated October 6, 2022 (incorporated by reference to the Registrant’s Current Report on Form</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74">
        <w:r>
          <w:rPr>
            <w:rFonts w:ascii="Times New Roman" w:cs="Times New Roman" w:eastAsia="Times New Roman" w:hAnsi="Times New Roman"/>
            <w:sz w:val="18"/>
            <w:szCs w:val="18"/>
            <w:u w:val="single" w:color="auto"/>
            <w:color w:val="0000EE"/>
          </w:rPr>
          <w:t>8-K filed on October 7, 2022)</w:t>
        </w:r>
      </w:hyperlink>
    </w:p>
    <w:p>
      <w:pPr>
        <w:spacing w:after="0" w:line="9" w:lineRule="exact"/>
        <w:rPr>
          <w:sz w:val="20"/>
          <w:szCs w:val="20"/>
          <w:color w:val="auto"/>
        </w:rPr>
      </w:pPr>
    </w:p>
    <w:p>
      <w:pPr>
        <w:ind w:left="24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75">
        <w:r>
          <w:rPr>
            <w:rFonts w:ascii="Times New Roman" w:cs="Times New Roman" w:eastAsia="Times New Roman" w:hAnsi="Times New Roman"/>
            <w:sz w:val="18"/>
            <w:szCs w:val="18"/>
            <w:u w:val="single" w:color="auto"/>
            <w:color w:val="0000EE"/>
          </w:rPr>
          <w:t>Employment Agreement with Rachel Vaknin (incorporated by reference to the Company’s Current Report on Form 8-K filed on April 5,</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75">
        <w:r>
          <w:rPr>
            <w:rFonts w:ascii="Times New Roman" w:cs="Times New Roman" w:eastAsia="Times New Roman" w:hAnsi="Times New Roman"/>
            <w:sz w:val="18"/>
            <w:szCs w:val="18"/>
            <w:u w:val="single" w:color="auto"/>
            <w:color w:val="0000EE"/>
          </w:rPr>
          <w:t>2022)</w:t>
        </w:r>
      </w:hyperlink>
    </w:p>
    <w:p>
      <w:pPr>
        <w:spacing w:after="0" w:line="9"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76">
        <w:r>
          <w:rPr>
            <w:rFonts w:ascii="Times New Roman" w:cs="Times New Roman" w:eastAsia="Times New Roman" w:hAnsi="Times New Roman"/>
            <w:sz w:val="18"/>
            <w:szCs w:val="18"/>
            <w:u w:val="single" w:color="auto"/>
            <w:color w:val="0000EE"/>
          </w:rPr>
          <w:t>Second Amendment to Employment Agreement with Harel Gadot (incorporated by reference to the Company’s Current Report on Form 8-</w:t>
        </w:r>
      </w:hyperlink>
      <w:hyperlink r:id="rId176">
        <w:r>
          <w:rPr>
            <w:rFonts w:ascii="Times New Roman" w:cs="Times New Roman" w:eastAsia="Times New Roman" w:hAnsi="Times New Roman"/>
            <w:sz w:val="18"/>
            <w:szCs w:val="18"/>
            <w:u w:val="single" w:color="auto"/>
            <w:color w:val="0000EE"/>
          </w:rPr>
          <w:t>K filed on February 1, 2022)</w:t>
        </w:r>
      </w:hyperlink>
    </w:p>
    <w:p>
      <w:pPr>
        <w:spacing w:after="0" w:line="1" w:lineRule="exact"/>
        <w:rPr>
          <w:sz w:val="20"/>
          <w:szCs w:val="20"/>
          <w:color w:val="auto"/>
        </w:rPr>
      </w:pPr>
    </w:p>
    <w:p>
      <w:pPr>
        <w:jc w:val="both"/>
        <w:ind w:left="1100" w:right="2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77">
        <w:r>
          <w:rPr>
            <w:rFonts w:ascii="Times New Roman" w:cs="Times New Roman" w:eastAsia="Times New Roman" w:hAnsi="Times New Roman"/>
            <w:sz w:val="18"/>
            <w:szCs w:val="18"/>
            <w:u w:val="single" w:color="auto"/>
            <w:color w:val="0000EE"/>
          </w:rPr>
          <w:t>Letter Agreements dated March 18, 2021 between Microbot Medical Ltd. and Technion Research and Development Foundation Ltd.</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(incorporated by reference to the Company’s Annual Report on Form 10-K for the Fiscal Year ended December 31, 2022, filed on March</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31, 2023)</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78">
        <w:r>
          <w:rPr>
            <w:rFonts w:ascii="Times New Roman" w:cs="Times New Roman" w:eastAsia="Times New Roman" w:hAnsi="Times New Roman"/>
            <w:sz w:val="18"/>
            <w:szCs w:val="18"/>
            <w:u w:val="single" w:color="auto"/>
            <w:color w:val="0000EE"/>
          </w:rPr>
          <w:t>Form of Securities Purchase Agreement, dated as of October 21, 2022, by and among Microbot Medical Inc. and the purchaser party thereto</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(incorporated by reference to the Registrant’s Current Report on Form 8-K filed on October 25, 2022)</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79">
        <w:r>
          <w:rPr>
            <w:rFonts w:ascii="Times New Roman" w:cs="Times New Roman" w:eastAsia="Times New Roman" w:hAnsi="Times New Roman"/>
            <w:sz w:val="18"/>
            <w:szCs w:val="18"/>
            <w:u w:val="single" w:color="auto"/>
            <w:color w:val="0000EE"/>
          </w:rPr>
          <w:t>Addendum to Employment Agreement with Rachel Vaknin (incorporated by reference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on 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80">
        <w:r>
          <w:rPr>
            <w:rFonts w:ascii="Times New Roman" w:cs="Times New Roman" w:eastAsia="Times New Roman" w:hAnsi="Times New Roman"/>
            <w:sz w:val="18"/>
            <w:szCs w:val="18"/>
            <w:u w:val="single" w:color="auto"/>
            <w:color w:val="0000EE"/>
          </w:rPr>
          <w:t>Addendum to Employment Agreement with Simon Sharon (incorporated by reference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on 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81">
        <w:r>
          <w:rPr>
            <w:rFonts w:ascii="Times New Roman" w:cs="Times New Roman" w:eastAsia="Times New Roman" w:hAnsi="Times New Roman"/>
            <w:sz w:val="18"/>
            <w:szCs w:val="18"/>
            <w:u w:val="single" w:color="auto"/>
            <w:color w:val="0000EE"/>
          </w:rPr>
          <w:t>Addendum to Employment Agreement with Eyal Morag (incorporated by reference to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82">
        <w:r>
          <w:rPr>
            <w:rFonts w:ascii="Times New Roman" w:cs="Times New Roman" w:eastAsia="Times New Roman" w:hAnsi="Times New Roman"/>
            <w:sz w:val="18"/>
            <w:szCs w:val="18"/>
            <w:u w:val="single" w:color="auto"/>
            <w:color w:val="0000EE"/>
          </w:rPr>
          <w:t>Addendum to Employment Agreement with Eyal Morag. (incorporated by reference to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May 22,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83">
        <w:r>
          <w:rPr>
            <w:rFonts w:ascii="Times New Roman" w:cs="Times New Roman" w:eastAsia="Times New Roman" w:hAnsi="Times New Roman"/>
            <w:sz w:val="18"/>
            <w:szCs w:val="18"/>
            <w:u w:val="single" w:color="auto"/>
            <w:color w:val="0000EE"/>
          </w:rPr>
          <w:t>Form of Securities Purchase Agreement, dated as of May 22,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(incorporated by reference to the Registrant’s Current Report on Form 8-K filed on May 23,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84">
        <w:r>
          <w:rPr>
            <w:rFonts w:ascii="Times New Roman" w:cs="Times New Roman" w:eastAsia="Times New Roman" w:hAnsi="Times New Roman"/>
            <w:sz w:val="18"/>
            <w:szCs w:val="18"/>
            <w:u w:val="single" w:color="auto"/>
            <w:color w:val="0000EE"/>
          </w:rPr>
          <w:t>Form of Securities Purchase Agreement, dated as of May 23, 2023, by and among Microbot Medical Inc. and the purchaser party thereto</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(incorporated by reference to the Registrant’s Current Report on Form 8-K filed on May 24,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85">
        <w:r>
          <w:rPr>
            <w:rFonts w:ascii="Times New Roman" w:cs="Times New Roman" w:eastAsia="Times New Roman" w:hAnsi="Times New Roman"/>
            <w:sz w:val="18"/>
            <w:szCs w:val="18"/>
            <w:u w:val="single" w:color="auto"/>
            <w:color w:val="0000EE"/>
          </w:rPr>
          <w:t>Form of Securities Purchase Agreement, dated as of June 2,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(incorporated by reference to the Registrant’s Current Report on Form 8-K filed on June 6,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86">
        <w:r>
          <w:rPr>
            <w:rFonts w:ascii="Times New Roman" w:cs="Times New Roman" w:eastAsia="Times New Roman" w:hAnsi="Times New Roman"/>
            <w:sz w:val="18"/>
            <w:szCs w:val="18"/>
            <w:u w:val="single" w:color="auto"/>
            <w:color w:val="0000EE"/>
          </w:rPr>
          <w:t>Form of Securities Purchase Agreement, dated as of June 26,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(incorporated by reference to the Registrant’s Current Report on Form 8-K filed on June 28,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87">
        <w:r>
          <w:rPr>
            <w:rFonts w:ascii="Times New Roman" w:cs="Times New Roman" w:eastAsia="Times New Roman" w:hAnsi="Times New Roman"/>
            <w:sz w:val="18"/>
            <w:szCs w:val="18"/>
            <w:u w:val="single" w:color="auto"/>
            <w:color w:val="0000EE"/>
          </w:rPr>
          <w:t>Employment Agreement with Juan Diaz-Cartelle, MD (incorporated by reference to the Registrant’s Current Report on Form 8-K filed on</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November 21, 2023)</w:t>
        </w:r>
      </w:hyperlink>
    </w:p>
    <w:p>
      <w:pPr>
        <w:spacing w:after="0" w:line="1" w:lineRule="exact"/>
        <w:rPr>
          <w:sz w:val="20"/>
          <w:szCs w:val="20"/>
          <w:color w:val="auto"/>
        </w:rPr>
      </w:pPr>
    </w:p>
    <w:p>
      <w:pPr>
        <w:ind w:left="300"/>
        <w:spacing w:after="0"/>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88">
        <w:r>
          <w:rPr>
            <w:rFonts w:ascii="Times New Roman" w:cs="Times New Roman" w:eastAsia="Times New Roman" w:hAnsi="Times New Roman"/>
            <w:sz w:val="17"/>
            <w:szCs w:val="17"/>
            <w:u w:val="single" w:color="auto"/>
            <w:color w:val="0000EE"/>
          </w:rPr>
          <w:t>Form of Inducement Letter (incorporated by reference to the Registrant’s Current Report on Form 8-K filed on January 2, 2024)</w:t>
        </w:r>
      </w:hyperlink>
    </w:p>
    <w:p>
      <w:pPr>
        <w:spacing w:after="0" w:line="9"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189">
        <w:r>
          <w:rPr>
            <w:rFonts w:ascii="Times New Roman" w:cs="Times New Roman" w:eastAsia="Times New Roman" w:hAnsi="Times New Roman"/>
            <w:sz w:val="18"/>
            <w:szCs w:val="18"/>
            <w:u w:val="single" w:color="auto"/>
            <w:color w:val="0000EE"/>
          </w:rPr>
          <w:t>Settlement Agreement and Release dated as of January 26, 2024 (incorporated by reference to the Registrant’s Current Report on Form 8-K</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filed on January 30, 2024)</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190">
        <w:r>
          <w:rPr>
            <w:rFonts w:ascii="Times New Roman" w:cs="Times New Roman" w:eastAsia="Times New Roman" w:hAnsi="Times New Roman"/>
            <w:sz w:val="18"/>
            <w:szCs w:val="18"/>
            <w:u w:val="single" w:color="auto"/>
            <w:color w:val="0000EE"/>
          </w:rPr>
          <w:t>Registration Rights Agreement dated as of January 26, 2024 (incorporated by reference to the Registrant’s Current Report on Form 8-K filed</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on January 30, 2024)</w:t>
        </w:r>
      </w:hyperlink>
    </w:p>
    <w:p>
      <w:pPr>
        <w:spacing w:after="0" w:line="1" w:lineRule="exact"/>
        <w:rPr>
          <w:sz w:val="20"/>
          <w:szCs w:val="20"/>
          <w:color w:val="auto"/>
        </w:rPr>
      </w:pPr>
    </w:p>
    <w:p>
      <w:pPr>
        <w:ind w:left="1100" w:right="2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191">
        <w:r>
          <w:rPr>
            <w:rFonts w:ascii="Times New Roman" w:cs="Times New Roman" w:eastAsia="Times New Roman" w:hAnsi="Times New Roman"/>
            <w:sz w:val="18"/>
            <w:szCs w:val="18"/>
            <w:u w:val="single" w:color="auto"/>
            <w:color w:val="0000EE"/>
          </w:rPr>
          <w:t>Form of Securities Purchase Agreement, dated as of June 3, 2024,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(incorporated by reference to the Registrant’s Current Report on Form 8-K filed on June 4, 2024)</w:t>
        </w:r>
      </w:hyperlink>
    </w:p>
    <w:p>
      <w:pPr>
        <w:spacing w:after="0" w:line="1" w:lineRule="exact"/>
        <w:rPr>
          <w:sz w:val="20"/>
          <w:szCs w:val="20"/>
          <w:color w:val="auto"/>
        </w:rPr>
      </w:pPr>
    </w:p>
    <w:p>
      <w:pPr>
        <w:ind w:left="34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r:id="rId192">
        <w:r>
          <w:rPr>
            <w:rFonts w:ascii="Times New Roman" w:cs="Times New Roman" w:eastAsia="Times New Roman" w:hAnsi="Times New Roman"/>
            <w:sz w:val="18"/>
            <w:szCs w:val="18"/>
            <w:u w:val="single" w:color="auto"/>
            <w:color w:val="0000EE"/>
          </w:rPr>
          <w:t>Subsidiaries of the Company (incorporated by reference to the Company’s Annual Report on Form 10-K for the fiscal year ended December</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92">
        <w:r>
          <w:rPr>
            <w:rFonts w:ascii="Times New Roman" w:cs="Times New Roman" w:eastAsia="Times New Roman" w:hAnsi="Times New Roman"/>
            <w:sz w:val="18"/>
            <w:szCs w:val="18"/>
            <w:u w:val="single" w:color="auto"/>
            <w:color w:val="0000EE"/>
          </w:rPr>
          <w:t>31, 2016 and filed on March 21, 2017).</w:t>
        </w:r>
      </w:hyperlink>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Independent Registered Public Accounting Firm</w:t>
      </w:r>
    </w:p>
    <w:p>
      <w:pPr>
        <w:spacing w:after="0" w:line="9" w:lineRule="exact"/>
        <w:rPr>
          <w:sz w:val="20"/>
          <w:szCs w:val="20"/>
          <w:color w:val="auto"/>
        </w:rPr>
      </w:pPr>
    </w:p>
    <w:p>
      <w:pPr>
        <w:ind w:left="280"/>
        <w:spacing w:after="0"/>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23.2+</w:t>
      </w:r>
      <w:r>
        <w:rPr>
          <w:sz w:val="20"/>
          <w:szCs w:val="20"/>
          <w:color w:val="auto"/>
        </w:rPr>
        <w:tab/>
      </w:r>
      <w:hyperlink r:id="rId157">
        <w:r>
          <w:rPr>
            <w:rFonts w:ascii="Times New Roman" w:cs="Times New Roman" w:eastAsia="Times New Roman" w:hAnsi="Times New Roman"/>
            <w:sz w:val="17"/>
            <w:szCs w:val="17"/>
            <w:u w:val="single" w:color="auto"/>
            <w:color w:val="0000EE"/>
          </w:rPr>
          <w:t>Consent of Ruskin Moscou Faltischek PC (included in Exhibit 5.1)</w:t>
        </w:r>
      </w:hyperlink>
    </w:p>
    <w:p>
      <w:pPr>
        <w:spacing w:after="0" w:line="9" w:lineRule="exact"/>
        <w:rPr>
          <w:sz w:val="20"/>
          <w:szCs w:val="20"/>
          <w:color w:val="auto"/>
        </w:rPr>
      </w:pPr>
    </w:p>
    <w:p>
      <w:pPr>
        <w:ind w:left="28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24.1+</w:t>
      </w:r>
      <w:r>
        <w:rPr>
          <w:sz w:val="20"/>
          <w:szCs w:val="20"/>
          <w:color w:val="auto"/>
        </w:rPr>
        <w:tab/>
      </w:r>
      <w:hyperlink r:id="rId193">
        <w:r>
          <w:rPr>
            <w:rFonts w:ascii="Times New Roman" w:cs="Times New Roman" w:eastAsia="Times New Roman" w:hAnsi="Times New Roman"/>
            <w:sz w:val="18"/>
            <w:szCs w:val="18"/>
            <w:u w:val="single" w:color="auto"/>
            <w:color w:val="0000EE"/>
          </w:rPr>
          <w:t>Power of Attorney (included on signature page)</w:t>
        </w:r>
      </w:hyperlink>
    </w:p>
    <w:p>
      <w:pPr>
        <w:spacing w:after="0" w:line="9" w:lineRule="exact"/>
        <w:rPr>
          <w:sz w:val="20"/>
          <w:szCs w:val="20"/>
          <w:color w:val="auto"/>
        </w:rPr>
      </w:pPr>
    </w:p>
    <w:p>
      <w:pPr>
        <w:ind w:left="1100" w:hanging="76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97.1</w:t>
      </w:r>
      <w:r>
        <w:rPr>
          <w:sz w:val="20"/>
          <w:szCs w:val="20"/>
          <w:color w:val="auto"/>
        </w:rPr>
        <w:tab/>
      </w:r>
      <w:hyperlink r:id="rId194">
        <w:r>
          <w:rPr>
            <w:rFonts w:ascii="Times New Roman" w:cs="Times New Roman" w:eastAsia="Times New Roman" w:hAnsi="Times New Roman"/>
            <w:sz w:val="18"/>
            <w:szCs w:val="18"/>
            <w:u w:val="single" w:color="auto"/>
            <w:color w:val="0000EE"/>
          </w:rPr>
          <w:t>Clawback Policy (incorporated by reference to the Company’s Annual Report on Form 10-K for the fiscal year ended December 31, 2023</w:t>
        </w:r>
      </w:hyperlink>
      <w:r>
        <w:rPr>
          <w:rFonts w:ascii="Times New Roman" w:cs="Times New Roman" w:eastAsia="Times New Roman" w:hAnsi="Times New Roman"/>
          <w:sz w:val="18"/>
          <w:szCs w:val="18"/>
          <w:u w:val="single" w:color="auto"/>
          <w:color w:val="0000EE"/>
        </w:rPr>
        <w:t xml:space="preserve"> </w:t>
      </w:r>
      <w:hyperlink r:id="rId194">
        <w:r>
          <w:rPr>
            <w:rFonts w:ascii="Times New Roman" w:cs="Times New Roman" w:eastAsia="Times New Roman" w:hAnsi="Times New Roman"/>
            <w:sz w:val="18"/>
            <w:szCs w:val="18"/>
            <w:u w:val="single" w:color="auto"/>
            <w:color w:val="0000EE"/>
          </w:rPr>
          <w:t>and filed on March 27, 2024)</w:t>
        </w:r>
      </w:hyperlink>
    </w:p>
    <w:p>
      <w:pPr>
        <w:spacing w:after="0" w:line="1" w:lineRule="exact"/>
        <w:rPr>
          <w:sz w:val="20"/>
          <w:szCs w:val="20"/>
          <w:color w:val="auto"/>
        </w:rPr>
      </w:pPr>
    </w:p>
    <w:p>
      <w:pPr>
        <w:ind w:left="30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95">
        <w:r>
          <w:rPr>
            <w:rFonts w:ascii="Times New Roman" w:cs="Times New Roman" w:eastAsia="Times New Roman" w:hAnsi="Times New Roman"/>
            <w:sz w:val="18"/>
            <w:szCs w:val="18"/>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7" w:lineRule="exact"/>
        <w:rPr>
          <w:sz w:val="20"/>
          <w:szCs w:val="20"/>
          <w:color w:val="auto"/>
        </w:rPr>
      </w:pPr>
    </w:p>
    <w:p>
      <w:pPr>
        <w:ind w:right="5900" w:firstLine="8"/>
        <w:spacing w:after="0" w:line="282" w:lineRule="auto"/>
        <w:tabs>
          <w:tab w:leader="none" w:pos="3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 + Previously filed.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(b) Financial statement schedule.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2344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7"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(the “Act”);</w:t>
      </w:r>
    </w:p>
    <w:p>
      <w:pPr>
        <w:spacing w:after="0" w:line="20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Provided, however,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80" w:lineRule="exact"/>
        <w:rPr>
          <w:sz w:val="20"/>
          <w:szCs w:val="20"/>
          <w:color w:val="auto"/>
        </w:rPr>
      </w:pPr>
    </w:p>
    <w:p>
      <w:pPr>
        <w:jc w:val="both"/>
        <w:ind w:left="34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jc w:val="both"/>
        <w:ind w:left="340" w:hanging="332"/>
        <w:spacing w:after="0" w:line="255"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a part of the registration statement will, as to a purchaser with a time of contract of sale prior to such first use, superseded or modify any statement that was made in the registration statement or prospectus that was part of the registration statement or made in any such document immediately prior to such date of first use.</w:t>
      </w:r>
    </w:p>
    <w:p>
      <w:pPr>
        <w:spacing w:after="0" w:line="189" w:lineRule="exact"/>
        <w:rPr>
          <w:sz w:val="20"/>
          <w:szCs w:val="20"/>
          <w:color w:val="auto"/>
        </w:rPr>
      </w:pPr>
    </w:p>
    <w:p>
      <w:pPr>
        <w:jc w:val="both"/>
        <w:ind w:left="340" w:hanging="332"/>
        <w:spacing w:after="0" w:line="258"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ind w:left="340" w:hanging="332"/>
        <w:spacing w:after="0" w:line="254"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Act may be permitted to directors, officers and controlling persons of the registrant pursuant to the foregoing provisions, or otherwise, the registrant has been advised that in the opinion of the Securities and Exchange Commission, or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S-1 to be signed on its behalf by the undersigned, thereunto duly authorized in the City of Braintree, Commonwealth of Massachusetts, on June 20, 2024.</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Chief Executive Officer and Chairman</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7"/>
        </w:trPr>
        <w:tc>
          <w:tcPr>
            <w:tcW w:w="580" w:type="dxa"/>
            <w:vAlign w:val="bottom"/>
            <w:shd w:val="clear" w:color="auto" w:fill="000000"/>
          </w:tcPr>
          <w:p>
            <w:pPr>
              <w:spacing w:after="0"/>
              <w:rPr>
                <w:sz w:val="2"/>
                <w:szCs w:val="2"/>
                <w:color w:val="auto"/>
              </w:rPr>
            </w:pPr>
          </w:p>
        </w:tc>
        <w:tc>
          <w:tcPr>
            <w:tcW w:w="2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shd w:val="clear" w:color="auto" w:fill="000000"/>
          </w:tcPr>
          <w:p>
            <w:pPr>
              <w:spacing w:after="0"/>
              <w:rPr>
                <w:sz w:val="2"/>
                <w:szCs w:val="2"/>
                <w:color w:val="auto"/>
              </w:rPr>
            </w:pPr>
          </w:p>
        </w:tc>
        <w:tc>
          <w:tcPr>
            <w:tcW w:w="3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shd w:val="clear" w:color="auto" w:fill="000000"/>
          </w:tcPr>
          <w:p>
            <w:pPr>
              <w:spacing w:after="0"/>
              <w:rPr>
                <w:sz w:val="2"/>
                <w:szCs w:val="2"/>
                <w:color w:val="auto"/>
              </w:rPr>
            </w:pPr>
          </w:p>
        </w:tc>
      </w:tr>
      <w:tr>
        <w:trPr>
          <w:trHeight w:val="453"/>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Harel Gadot</w:t>
            </w: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5620" w:type="dxa"/>
            <w:vAlign w:val="bottom"/>
            <w:gridSpan w:val="4"/>
          </w:tcPr>
          <w:p>
            <w:pPr>
              <w:ind w:left="240"/>
              <w:spacing w:after="0" w:line="202" w:lineRule="exact"/>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r>
      <w:tr>
        <w:trPr>
          <w:trHeight w:val="430"/>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800" w:type="dxa"/>
            <w:vAlign w:val="bottom"/>
            <w:tcBorders>
              <w:bottom w:val="single" w:sz="8" w:color="auto"/>
            </w:tcBorders>
          </w:tcPr>
          <w:p>
            <w:pPr>
              <w:spacing w:after="0"/>
              <w:rPr>
                <w:sz w:val="24"/>
                <w:szCs w:val="24"/>
                <w:color w:val="auto"/>
              </w:rPr>
            </w:pP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5620" w:type="dxa"/>
            <w:vAlign w:val="bottom"/>
            <w:gridSpan w:val="4"/>
          </w:tcPr>
          <w:p>
            <w:pPr>
              <w:ind w:left="240"/>
              <w:spacing w:after="0" w:line="202" w:lineRule="exact"/>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40" w:type="dxa"/>
            <w:vAlign w:val="bottom"/>
          </w:tcPr>
          <w:p>
            <w:pPr>
              <w:spacing w:after="0"/>
              <w:rPr>
                <w:sz w:val="20"/>
                <w:szCs w:val="20"/>
                <w:color w:val="auto"/>
              </w:rPr>
            </w:pPr>
          </w:p>
        </w:tc>
      </w:tr>
      <w:tr>
        <w:trPr>
          <w:trHeight w:val="430"/>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800" w:type="dxa"/>
            <w:vAlign w:val="bottom"/>
            <w:tcBorders>
              <w:bottom w:val="single" w:sz="8" w:color="auto"/>
            </w:tcBorders>
          </w:tcPr>
          <w:p>
            <w:pPr>
              <w:spacing w:after="0"/>
              <w:rPr>
                <w:sz w:val="24"/>
                <w:szCs w:val="24"/>
                <w:color w:val="auto"/>
              </w:rPr>
            </w:pP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Yoseph Bornstein</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bottom w:val="single" w:sz="8" w:color="auto"/>
            </w:tcBorders>
          </w:tcPr>
          <w:p>
            <w:pPr>
              <w:spacing w:after="0"/>
              <w:rPr>
                <w:sz w:val="24"/>
                <w:szCs w:val="24"/>
                <w:color w:val="auto"/>
              </w:rPr>
            </w:pP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Prattipati Laxminarain</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bottom w:val="single" w:sz="8" w:color="auto"/>
            </w:tcBorders>
          </w:tcPr>
          <w:p>
            <w:pPr>
              <w:spacing w:after="0"/>
              <w:rPr>
                <w:sz w:val="24"/>
                <w:szCs w:val="24"/>
                <w:color w:val="auto"/>
              </w:rPr>
            </w:pP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Scott Burell</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bottom w:val="single" w:sz="8" w:color="auto"/>
            </w:tcBorders>
          </w:tcPr>
          <w:p>
            <w:pPr>
              <w:spacing w:after="0"/>
              <w:rPr>
                <w:sz w:val="24"/>
                <w:szCs w:val="24"/>
                <w:color w:val="auto"/>
              </w:rPr>
            </w:pP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Martin Madden</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bottom w:val="single" w:sz="8" w:color="auto"/>
            </w:tcBorders>
          </w:tcPr>
          <w:p>
            <w:pPr>
              <w:spacing w:after="0"/>
              <w:rPr>
                <w:sz w:val="24"/>
                <w:szCs w:val="24"/>
                <w:color w:val="auto"/>
              </w:rPr>
            </w:pP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Aileen Stockburger</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bottom w:val="single" w:sz="8" w:color="auto"/>
            </w:tcBorders>
          </w:tcPr>
          <w:p>
            <w:pPr>
              <w:spacing w:after="0"/>
              <w:rPr>
                <w:sz w:val="24"/>
                <w:szCs w:val="24"/>
                <w:color w:val="auto"/>
              </w:rPr>
            </w:pPr>
          </w:p>
        </w:tc>
        <w:tc>
          <w:tcPr>
            <w:tcW w:w="56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2024</w:t>
            </w:r>
          </w:p>
        </w:tc>
      </w:tr>
      <w:tr>
        <w:trPr>
          <w:trHeight w:val="23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Tal Wenderow</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By: </w:t>
            </w:r>
            <w:r>
              <w:rPr>
                <w:rFonts w:ascii="Times New Roman" w:cs="Times New Roman" w:eastAsia="Times New Roman" w:hAnsi="Times New Roman"/>
                <w:sz w:val="18"/>
                <w:szCs w:val="18"/>
                <w:i w:val="1"/>
                <w:iCs w:val="1"/>
                <w:color w:val="auto"/>
              </w:rPr>
              <w:t>/s/ Harel Gadot</w:t>
            </w: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2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Harel Gadot, Attorney-in-Fact</w:t>
            </w:r>
          </w:p>
        </w:tc>
        <w:tc>
          <w:tcPr>
            <w:tcW w:w="24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5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3"/>
          </w:tcPr>
          <w:p>
            <w:pPr>
              <w:ind w:left="1860"/>
              <w:spacing w:after="0"/>
              <w:rPr>
                <w:sz w:val="20"/>
                <w:szCs w:val="20"/>
                <w:color w:val="auto"/>
              </w:rPr>
            </w:pPr>
            <w:r>
              <w:rPr>
                <w:rFonts w:ascii="Times New Roman" w:cs="Times New Roman" w:eastAsia="Times New Roman" w:hAnsi="Times New Roman"/>
                <w:sz w:val="18"/>
                <w:szCs w:val="18"/>
                <w:color w:val="auto"/>
              </w:rPr>
              <w:t>II-6</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consent to the use in this Registration Statement on Form S-1 (Registration No. 333-280113) of our report dated March 27, 2024, relating to the financial statements of Microbot Medical Inc. We also consent to the reference to us under the heading “Experts” in such Registration Statement.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Brightman Almagor Zohar &amp; Co.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decimal"/>
      <w:start w:val="5"/>
    </w:lvl>
  </w:abstractNum>
  <w:abstractNum w:abstractNumId="35">
    <w:nsid w:val="32FFF902"/>
    <w:multiLevelType w:val="hybridMultilevel"/>
    <w:lvl w:ilvl="0">
      <w:lvlJc w:val="left"/>
      <w:lvlText w:val="(%1)"/>
      <w:numFmt w:val="lowerRoman"/>
      <w:start w:val="2"/>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1)"/>
      <w:numFmt w:val="decimal"/>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1)"/>
      <w:numFmt w:val="lowerRoman"/>
      <w:start w:val="2"/>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1)"/>
      <w:numFmt w:val="lowerRoman"/>
      <w:start w:val="1"/>
    </w:lvl>
  </w:abstractNum>
  <w:abstractNum w:abstractNumId="57">
    <w:nsid w:val="15B5AF5C"/>
    <w:multiLevelType w:val="hybridMultilevel"/>
    <w:lvl w:ilvl="0">
      <w:lvlJc w:val="left"/>
      <w:lvlText w:val="(%1)"/>
      <w:numFmt w:val="decimal"/>
      <w:start w:val="2"/>
    </w:lvl>
  </w:abstractNum>
  <w:abstractNum w:abstractNumId="58">
    <w:nsid w:val="741226BB"/>
    <w:multiLevelType w:val="hybridMultilevel"/>
    <w:lvl w:ilvl="0">
      <w:lvlJc w:val="left"/>
      <w:lvlText w:val="(%1)"/>
      <w:numFmt w:val="decimal"/>
      <w:start w:val="5"/>
    </w:lvl>
  </w:abstractNum>
  <w:abstractNum w:abstractNumId="59">
    <w:nsid w:val="D34B6A8"/>
    <w:multiLevelType w:val="hybridMultilevel"/>
    <w:lvl w:ilvl="0">
      <w:lvlJc w:val="left"/>
      <w:lvlText w:val="(%1)"/>
      <w:numFmt w:val="lowerLetter"/>
      <w:start w:val="2"/>
    </w:lvl>
  </w:abstractNum>
  <w:abstractNum w:abstractNumId="60">
    <w:nsid w:val="10233C99"/>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65" Type="http://schemas.openxmlformats.org/officeDocument/2006/relationships/image" Target="media/image128.png"/><Relationship Id="rId196" Type="http://schemas.openxmlformats.org/officeDocument/2006/relationships/image" Target="media/image129.png"/><Relationship Id="rId197" Type="http://schemas.openxmlformats.org/officeDocument/2006/relationships/image" Target="media/image130.png"/><Relationship Id="rId198" Type="http://schemas.openxmlformats.org/officeDocument/2006/relationships/image" Target="media/image131.png"/><Relationship Id="rId199" Type="http://schemas.openxmlformats.org/officeDocument/2006/relationships/image" Target="media/image132.png"/><Relationship Id="rId200" Type="http://schemas.openxmlformats.org/officeDocument/2006/relationships/image" Target="media/image133.png"/><Relationship Id="rId201" Type="http://schemas.openxmlformats.org/officeDocument/2006/relationships/image" Target="media/image134.png"/><Relationship Id="rId135" Type="http://schemas.openxmlformats.org/officeDocument/2006/relationships/hyperlink" Target="https://www.sec.gov/Archives/edgar/data/883975/000119312516682077/d161430dex21.htm" TargetMode="External"/><Relationship Id="rId136" Type="http://schemas.openxmlformats.org/officeDocument/2006/relationships/hyperlink" Target="https://www.sec.gov/Archives/edgar/data/883975/000095013407005808/f27726exv3w1.htm" TargetMode="External"/><Relationship Id="rId137" Type="http://schemas.openxmlformats.org/officeDocument/2006/relationships/hyperlink" Target="https://www.sec.gov/Archives/edgar/data/883975/000119312516779597/d296933dex31.htm" TargetMode="External"/><Relationship Id="rId138" Type="http://schemas.openxmlformats.org/officeDocument/2006/relationships/hyperlink" Target="https://www.sec.gov/Archives/edgar/data/883975/000149315218012872/ex3-1.htm" TargetMode="External"/><Relationship Id="rId139" Type="http://schemas.openxmlformats.org/officeDocument/2006/relationships/hyperlink" Target="https://www.sec.gov/Archives/edgar/data/883975/000129993316002374/exhibit1.htm" TargetMode="External"/><Relationship Id="rId140" Type="http://schemas.openxmlformats.org/officeDocument/2006/relationships/hyperlink" Target="https://www.sec.gov/Archives/edgar/data/883975/000149315218017395/ex3-1.htm" TargetMode="External"/><Relationship Id="rId141" Type="http://schemas.openxmlformats.org/officeDocument/2006/relationships/hyperlink" Target="https://www.sec.gov/Archives/edgar/data/883975/000149315219013998/ex3-1.htm" TargetMode="External"/><Relationship Id="rId142" Type="http://schemas.openxmlformats.org/officeDocument/2006/relationships/hyperlink" Target="https://www.sec.gov/Archives/edgar/data/883975/000149315221010347/ex3-1.htm" TargetMode="External"/><Relationship Id="rId143" Type="http://schemas.openxmlformats.org/officeDocument/2006/relationships/hyperlink" Target="https://www.sec.gov/Archives/edgar/data/883975/000149315220006338/ex4-10.htm" TargetMode="External"/><Relationship Id="rId144" Type="http://schemas.openxmlformats.org/officeDocument/2006/relationships/hyperlink" Target="https://www.sec.gov/Archives/edgar/data/883975/000149315222029541/ex4-2.htm" TargetMode="External"/><Relationship Id="rId145" Type="http://schemas.openxmlformats.org/officeDocument/2006/relationships/hyperlink" Target="https://www.sec.gov/Archives/edgar/data/883975/000149315222029541/ex4-4.htm" TargetMode="External"/><Relationship Id="rId146" Type="http://schemas.openxmlformats.org/officeDocument/2006/relationships/hyperlink" Target="https://www.sec.gov/Archives/edgar/data/883975/000149315223018718/ex4-1.htm" TargetMode="External"/><Relationship Id="rId147" Type="http://schemas.openxmlformats.org/officeDocument/2006/relationships/hyperlink" Target="https://www.sec.gov/Archives/edgar/data/883975/000149315223018932/ex4-2.htm" TargetMode="External"/><Relationship Id="rId148" Type="http://schemas.openxmlformats.org/officeDocument/2006/relationships/hyperlink" Target="https://www.sec.gov/Archives/edgar/data/883975/000149315223018932/ex10-2.htm" TargetMode="External"/><Relationship Id="rId149" Type="http://schemas.openxmlformats.org/officeDocument/2006/relationships/hyperlink" Target="https://www.sec.gov/Archives/edgar/data/883975/000149315223020309/ex4-1.htm" TargetMode="External"/><Relationship Id="rId150" Type="http://schemas.openxmlformats.org/officeDocument/2006/relationships/hyperlink" Target="https://www.sec.gov/Archives/edgar/data/883975/000149315223020309/ex4-2.htm" TargetMode="External"/><Relationship Id="rId151" Type="http://schemas.openxmlformats.org/officeDocument/2006/relationships/hyperlink" Target="https://www.sec.gov/Archives/edgar/data/883975/000149315223022814/ex4-1.htm" TargetMode="External"/><Relationship Id="rId152" Type="http://schemas.openxmlformats.org/officeDocument/2006/relationships/hyperlink" Target="https://www.sec.gov/Archives/edgar/data/883975/000149315223022814/ex4-2.htm" TargetMode="External"/><Relationship Id="rId153" Type="http://schemas.openxmlformats.org/officeDocument/2006/relationships/hyperlink" Target="https://www.sec.gov/Archives/edgar/data/883975/000149315224000109/ex4-1.htm" TargetMode="External"/><Relationship Id="rId154" Type="http://schemas.openxmlformats.org/officeDocument/2006/relationships/hyperlink" Target="https://www.sec.gov/Archives/edgar/data/883975/000149315224000109/ex4-2.htm" TargetMode="External"/><Relationship Id="rId155" Type="http://schemas.openxmlformats.org/officeDocument/2006/relationships/hyperlink" Target="https://www.sec.gov/Archives/edgar/data/883975/000149315224022560/ex4-1.htm" TargetMode="External"/><Relationship Id="rId156" Type="http://schemas.openxmlformats.org/officeDocument/2006/relationships/hyperlink" Target="https://www.sec.gov/Archives/edgar/data/883975/000149315224022560/ex4-2.htm" TargetMode="External"/><Relationship Id="rId157" Type="http://schemas.openxmlformats.org/officeDocument/2006/relationships/hyperlink" Target="https://www.sec.gov/Archives/edgar/data/883975/000149315224023434/ex5-1.htm" TargetMode="External"/><Relationship Id="rId158" Type="http://schemas.openxmlformats.org/officeDocument/2006/relationships/hyperlink" Target="https://www.sec.gov/Archives/edgar/data/883975/000119312516779729/d296933dex104.htm" TargetMode="External"/><Relationship Id="rId159" Type="http://schemas.openxmlformats.org/officeDocument/2006/relationships/hyperlink" Target="https://www.sec.gov/Archives/edgar/data/883975/000119312516779729/d296933dex105.htm" TargetMode="External"/><Relationship Id="rId160" Type="http://schemas.openxmlformats.org/officeDocument/2006/relationships/hyperlink" Target="https://www.sec.gov/Archives/edgar/data/883975/000149315217002678/ex10-14.htm" TargetMode="External"/><Relationship Id="rId161" Type="http://schemas.openxmlformats.org/officeDocument/2006/relationships/hyperlink" Target="https://www.sec.gov/Archives/edgar/data/883975/000149315217013222/ex10-1.htm" TargetMode="External"/><Relationship Id="rId162" Type="http://schemas.openxmlformats.org/officeDocument/2006/relationships/hyperlink" Target="https://www.sec.gov/Archives/edgar/data/883975/000149315218000286/ex10-1.htm" TargetMode="External"/><Relationship Id="rId163" Type="http://schemas.openxmlformats.org/officeDocument/2006/relationships/hyperlink" Target="https://www.sec.gov/Archives/edgar/data/883975/000149315217008987/def14a.htm" TargetMode="External"/><Relationship Id="rId164" Type="http://schemas.openxmlformats.org/officeDocument/2006/relationships/hyperlink" Target="https://www.sec.gov/Archives/edgar/data/883975/000149315220014354/def14a.htm" TargetMode="External"/><Relationship Id="rId166" Type="http://schemas.openxmlformats.org/officeDocument/2006/relationships/hyperlink" Target="https://www.sec.gov/Archives/edgar/data/883975/000149315220022543/ex4-2.htm" TargetMode="External"/><Relationship Id="rId167" Type="http://schemas.openxmlformats.org/officeDocument/2006/relationships/hyperlink" Target="https://www.sec.gov/Archives/edgar/data/883975/000149315220022543/ex4-3.htm" TargetMode="External"/><Relationship Id="rId168" Type="http://schemas.openxmlformats.org/officeDocument/2006/relationships/hyperlink" Target="https://www.sec.gov/Archives/edgar/data/883975/000149315220022543/ex4-4.htm" TargetMode="External"/><Relationship Id="rId169" Type="http://schemas.openxmlformats.org/officeDocument/2006/relationships/hyperlink" Target="https://www.sec.gov/Archives/edgar/data/883975/000149315220022543/ex4-5.htm" TargetMode="External"/><Relationship Id="rId170" Type="http://schemas.openxmlformats.org/officeDocument/2006/relationships/hyperlink" Target="https://www.sec.gov/Archives/edgar/data/883975/000149315220022543/ex4-6.htm" TargetMode="External"/><Relationship Id="rId171" Type="http://schemas.openxmlformats.org/officeDocument/2006/relationships/hyperlink" Target="https://www.sec.gov/Archives/edgar/data/883975/000149315221008148/ex10-1.htm" TargetMode="External"/><Relationship Id="rId172" Type="http://schemas.openxmlformats.org/officeDocument/2006/relationships/hyperlink" Target="https://www.sec.gov/Archives/edgar/data/883975/000149315221009469/ex10-1.htm" TargetMode="External"/><Relationship Id="rId173" Type="http://schemas.openxmlformats.org/officeDocument/2006/relationships/hyperlink" Target="https://www.sec.gov/Archives/edgar/data/883975/000149315221014052/ex10-1.htm" TargetMode="External"/><Relationship Id="rId174" Type="http://schemas.openxmlformats.org/officeDocument/2006/relationships/hyperlink" Target="https://www.sec.gov/Archives/edgar/data/883975/000149315222027872/ex10-1.htm" TargetMode="External"/><Relationship Id="rId175" Type="http://schemas.openxmlformats.org/officeDocument/2006/relationships/hyperlink" Target="https://www.sec.gov/Archives/edgar/data/883975/000149315222009272/ex10-1.htm" TargetMode="External"/><Relationship Id="rId176" Type="http://schemas.openxmlformats.org/officeDocument/2006/relationships/hyperlink" Target="https://www.sec.gov/Archives/edgar/data/883975/000149315222002881/ex10-1.htm" TargetMode="External"/><Relationship Id="rId177" Type="http://schemas.openxmlformats.org/officeDocument/2006/relationships/hyperlink" Target="https://www.sec.gov/Archives/edgar/data/883975/000149315223010223/ex10-21.htm" TargetMode="External"/><Relationship Id="rId178" Type="http://schemas.openxmlformats.org/officeDocument/2006/relationships/hyperlink" Target="https://www.sec.gov/Archives/edgar/data/883975/000149315222029541/ex10-1.htm" TargetMode="External"/><Relationship Id="rId179" Type="http://schemas.openxmlformats.org/officeDocument/2006/relationships/hyperlink" Target="https://www.sec.gov/Archives/edgar/data/883975/000149315223018456/ex10-1.htm" TargetMode="External"/><Relationship Id="rId180" Type="http://schemas.openxmlformats.org/officeDocument/2006/relationships/hyperlink" Target="https://www.sec.gov/Archives/edgar/data/883975/000149315223018456/ex10-2.htm" TargetMode="External"/><Relationship Id="rId181" Type="http://schemas.openxmlformats.org/officeDocument/2006/relationships/hyperlink" Target="https://www.sec.gov/Archives/edgar/data/883975/000149315223018456/ex10-3.htm" TargetMode="External"/><Relationship Id="rId182" Type="http://schemas.openxmlformats.org/officeDocument/2006/relationships/hyperlink" Target="https://www.sec.gov/Archives/edgar/data/883975/000149315223018456/ex10-4.htm" TargetMode="External"/><Relationship Id="rId183" Type="http://schemas.openxmlformats.org/officeDocument/2006/relationships/hyperlink" Target="https://www.sec.gov/Archives/edgar/data/883975/000149315223018718/ex10-1.htm" TargetMode="External"/><Relationship Id="rId184" Type="http://schemas.openxmlformats.org/officeDocument/2006/relationships/hyperlink" Target="https://www.sec.gov/Archives/edgar/data/883975/000149315223018932/ex10-1.htm" TargetMode="External"/><Relationship Id="rId185" Type="http://schemas.openxmlformats.org/officeDocument/2006/relationships/hyperlink" Target="https://www.sec.gov/Archives/edgar/data/883975/000149315223020309/ex10-1.htm" TargetMode="External"/><Relationship Id="rId186" Type="http://schemas.openxmlformats.org/officeDocument/2006/relationships/hyperlink" Target="https://www.sec.gov/Archives/edgar/data/883975/000149315223022814/ex10-1.htm" TargetMode="External"/><Relationship Id="rId187" Type="http://schemas.openxmlformats.org/officeDocument/2006/relationships/hyperlink" Target="https://www.sec.gov/Archives/edgar/data/883975/000149315223042204/ex10-1.htm" TargetMode="External"/><Relationship Id="rId188" Type="http://schemas.openxmlformats.org/officeDocument/2006/relationships/hyperlink" Target="https://www.sec.gov/Archives/edgar/data/883975/000149315224000109/ex10-1.htm" TargetMode="External"/><Relationship Id="rId189" Type="http://schemas.openxmlformats.org/officeDocument/2006/relationships/hyperlink" Target="https://www.sec.gov/Archives/edgar/data/883975/000149315224004231/ex10-1.htm" TargetMode="External"/><Relationship Id="rId190" Type="http://schemas.openxmlformats.org/officeDocument/2006/relationships/hyperlink" Target="https://www.sec.gov/Archives/edgar/data/883975/000149315224004231/ex10-2.htm" TargetMode="External"/><Relationship Id="rId191" Type="http://schemas.openxmlformats.org/officeDocument/2006/relationships/hyperlink" Target="https://www.sec.gov/Archives/edgar/data/883975/000149315224022560/ex10-1.htm" TargetMode="External"/><Relationship Id="rId192" Type="http://schemas.openxmlformats.org/officeDocument/2006/relationships/hyperlink" Target="https://www.sec.gov/Archives/edgar/data/883975/000149315217002678/ex21-1.htm" TargetMode="External"/><Relationship Id="rId193" Type="http://schemas.openxmlformats.org/officeDocument/2006/relationships/hyperlink" Target="https://www.sec.gov/Archives/edgar/data/883975/000149315224023434/forms-1.htm#BS_001" TargetMode="External"/><Relationship Id="rId194" Type="http://schemas.openxmlformats.org/officeDocument/2006/relationships/hyperlink" Target="https://www.sec.gov/Archives/edgar/data/883975/000149315224011521/ex97-1.htm" TargetMode="External"/><Relationship Id="rId195" Type="http://schemas.openxmlformats.org/officeDocument/2006/relationships/hyperlink" Target="https://www.sec.gov/Archives/edgar/data/883975/000149315224023434/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2024-06-20T15:53:57Z</dcterms:created>
  <dcterms:modified xsi:type="dcterms:W3CDTF">2024-06-20T15:53:57Z</dcterms:modified>
</cp:coreProperties>
</file>