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31,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March 31, 2022, Microbot Medical Inc. (the “Company”) issued a press release to announce that it has filed its pre-submission package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with the U.S. Food and Drug Administration (FDA), addressing the regulatory pathway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This is in line with the Company’s previously stated Q1 timeline. The Company expects to meet with the FDA following a normal review process to discuss the pre-submission and ensure the testing protocols and regulatory pathway are aligned with the FDA to obtain clearance for LIBERTY.</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980" w:type="dxa"/>
            <w:vAlign w:val="bottom"/>
          </w:tcPr>
          <w:p>
            <w:pPr>
              <w:spacing w:after="0"/>
              <w:rPr>
                <w:sz w:val="20"/>
                <w:szCs w:val="20"/>
                <w:color w:val="auto"/>
              </w:rPr>
            </w:pPr>
          </w:p>
        </w:tc>
        <w:tc>
          <w:tcPr>
            <w:tcW w:w="916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spacing w:after="0"/>
              <w:rPr>
                <w:sz w:val="24"/>
                <w:szCs w:val="24"/>
                <w:color w:val="auto"/>
              </w:rPr>
            </w:pPr>
          </w:p>
        </w:tc>
        <w:tc>
          <w:tcPr>
            <w:tcW w:w="916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Microbot Medical Achieves Significant Regulatory Milestone for the LIBERTY® Robotic System; Files FDA Pre-Submission Package for Regulatory Pathway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Pre-Clinical Trial on Track for Third Quarter</w:t>
      </w:r>
    </w:p>
    <w:p>
      <w:pPr>
        <w:spacing w:after="0" w:line="22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b w:val="1"/>
          <w:bCs w:val="1"/>
          <w:color w:val="auto"/>
        </w:rPr>
        <w:t xml:space="preserve">HINGHAM, Mass., March 31, 2022 </w:t>
      </w:r>
      <w:r>
        <w:rPr>
          <w:rFonts w:ascii="Times New Roman" w:cs="Times New Roman" w:eastAsia="Times New Roman" w:hAnsi="Times New Roman"/>
          <w:sz w:val="18"/>
          <w:szCs w:val="18"/>
          <w:color w:val="auto"/>
        </w:rPr>
        <w:t>– The operational momentum that Microbot Medical Inc. (Nasdaq: MBOT) experienced at the end of 2021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well into the 2022 first quarter. The Company filed its pre-submission package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with the U.S. Food and Drug</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Administration (FDA), addressing the regulatory pathway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This is in line with the Company’s previously stated Q1 timeline. The Company expects to meet with the FDA following a normal review process to discuss the pre-submission and ensure the testing protocols and regulatory pathway are aligned with the FDA to obtain clearance for LIBERTY.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significant progress we achieved in the first quarter demonstrates the team is highly focused on delivering key milestones on time,” commented Harel Gadot, Chairman, CEO and President. “The pre-submission filing with the FDA is an important milestone, and although it is the initial phase in the regulatory process, it gives us the confidence to commence implementing plans to scale up the Company’s organizational infrastructure to support future commercial success.”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2022-03-31T06:41:02Z</dcterms:created>
  <dcterms:modified xsi:type="dcterms:W3CDTF">2022-03-31T06:41:02Z</dcterms:modified>
</cp:coreProperties>
</file>