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19,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On November 19, 2021, Microbot Medical Inc. (the “Company”) issued a press release announcing that the United States Patent and Trade Office has issued a Notice of Allowance for a second patent application covering the Company’s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Globally, the Company now has 46 patents issued/allowed and 24 pending patent applications.</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 Exhibits</w:t>
            </w:r>
          </w:p>
        </w:tc>
        <w:tc>
          <w:tcPr>
            <w:tcW w:w="980" w:type="dxa"/>
            <w:vAlign w:val="bottom"/>
          </w:tcPr>
          <w:p>
            <w:pPr>
              <w:spacing w:after="0"/>
              <w:rPr>
                <w:sz w:val="20"/>
                <w:szCs w:val="20"/>
                <w:color w:val="auto"/>
              </w:rPr>
            </w:pPr>
          </w:p>
        </w:tc>
        <w:tc>
          <w:tcPr>
            <w:tcW w:w="8900" w:type="dxa"/>
            <w:vAlign w:val="bottom"/>
          </w:tcPr>
          <w:p>
            <w:pPr>
              <w:spacing w:after="0"/>
              <w:rPr>
                <w:sz w:val="20"/>
                <w:szCs w:val="20"/>
                <w:color w:val="auto"/>
              </w:rPr>
            </w:pPr>
          </w:p>
        </w:tc>
      </w:tr>
      <w:tr>
        <w:trPr>
          <w:trHeight w:val="41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80" w:type="dxa"/>
            <w:vAlign w:val="bottom"/>
          </w:tcPr>
          <w:p>
            <w:pPr>
              <w:spacing w:after="0"/>
              <w:rPr>
                <w:sz w:val="24"/>
                <w:szCs w:val="24"/>
                <w:color w:val="auto"/>
              </w:rPr>
            </w:pPr>
          </w:p>
        </w:tc>
        <w:tc>
          <w:tcPr>
            <w:tcW w:w="8900" w:type="dxa"/>
            <w:vAlign w:val="bottom"/>
          </w:tcPr>
          <w:p>
            <w:pPr>
              <w:spacing w:after="0"/>
              <w:rPr>
                <w:sz w:val="24"/>
                <w:szCs w:val="24"/>
                <w:color w:val="auto"/>
              </w:rPr>
            </w:pPr>
          </w:p>
        </w:tc>
      </w:tr>
      <w:tr>
        <w:trPr>
          <w:trHeight w:val="24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154305</wp:posOffset>
            </wp:positionV>
            <wp:extent cx="1842770" cy="711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4277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Secures Additional Patent for the LIBERTY</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Robotic System in the United States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HINGHAM, Mass., November 19, 2021 </w:t>
      </w:r>
      <w:r>
        <w:rPr>
          <w:rFonts w:ascii="Arial" w:cs="Arial" w:eastAsia="Arial" w:hAnsi="Arial"/>
          <w:sz w:val="16"/>
          <w:szCs w:val="16"/>
          <w:color w:val="auto"/>
        </w:rPr>
        <w:t>–Microbot Medical Inc. (Nasdaq: MBOT), announced that the United States Patent and Trade Office (USPTO)</w:t>
      </w:r>
      <w:r>
        <w:rPr>
          <w:rFonts w:ascii="Arial" w:cs="Arial" w:eastAsia="Arial" w:hAnsi="Arial"/>
          <w:sz w:val="16"/>
          <w:szCs w:val="16"/>
          <w:b w:val="1"/>
          <w:bCs w:val="1"/>
          <w:color w:val="auto"/>
        </w:rPr>
        <w:t xml:space="preserve"> </w:t>
      </w:r>
      <w:r>
        <w:rPr>
          <w:rFonts w:ascii="Arial" w:cs="Arial" w:eastAsia="Arial" w:hAnsi="Arial"/>
          <w:sz w:val="16"/>
          <w:szCs w:val="16"/>
          <w:color w:val="auto"/>
        </w:rPr>
        <w:t>has issued a Notice of Allowance for a second patent application covering the Company’s 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Robotic System. Globally, the Company now has 46 patents issued/allowed and 24 pending patent applications and is continuously submitting applications to protect its Intellectual Property.</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believe that the U.S. is the largest and most significant market opportunity for the 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Robotic System, and with two allowances in a few short months, it clearly demonstrates the innovative nature of our technology,” commented Harel Gadot, CEO, President and Chairman. “2022 is poised to be an</w:t>
      </w:r>
    </w:p>
    <w:p>
      <w:pPr>
        <w:jc w:val="both"/>
        <w:spacing w:after="0" w:line="209" w:lineRule="auto"/>
        <w:rPr>
          <w:sz w:val="20"/>
          <w:szCs w:val="20"/>
          <w:color w:val="auto"/>
        </w:rPr>
      </w:pPr>
      <w:r>
        <w:rPr>
          <w:rFonts w:ascii="Arial" w:cs="Arial" w:eastAsia="Arial" w:hAnsi="Arial"/>
          <w:sz w:val="18"/>
          <w:szCs w:val="18"/>
          <w:color w:val="auto"/>
        </w:rPr>
        <w:t>important year for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It’s critical that we approach this period knowing we have protections in place, so we can ultimately monetize our Intellectual Property, reap potential commercial opportunities and maximize shareholder value.”</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allowed claims cover a modular robotic system for manipulation of at least two elongated, flexible surgical tools, the system including at least one unit operable to move a first tool and a base operable to move a second tool, wherein the base serves as a mounting for the units, and each unit communicates with the base in one of a mechanical coupling, electrical power supply and data communication.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protection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2021-11-19T06:02:37Z</dcterms:created>
  <dcterms:modified xsi:type="dcterms:W3CDTF">2021-11-19T06:02:37Z</dcterms:modified>
</cp:coreProperties>
</file>