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34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March 18, 2008</w:t>
      </w:r>
    </w:p>
    <w:p>
      <w:pPr>
        <w:spacing w:after="0" w:line="200" w:lineRule="exact"/>
        <w:rPr>
          <w:sz w:val="24"/>
          <w:szCs w:val="24"/>
          <w:color w:val="auto"/>
        </w:rPr>
      </w:pPr>
    </w:p>
    <w:p>
      <w:pPr>
        <w:spacing w:after="0" w:line="245"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StemCells,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86"/>
              </w:rPr>
              <w:t>Delaware</w:t>
            </w:r>
          </w:p>
        </w:tc>
        <w:tc>
          <w:tcPr>
            <w:tcW w:w="4640" w:type="dxa"/>
            <w:vAlign w:val="bottom"/>
          </w:tcPr>
          <w:p>
            <w:pPr>
              <w:jc w:val="right"/>
              <w:ind w:right="1932"/>
              <w:spacing w:after="0"/>
              <w:rPr>
                <w:sz w:val="20"/>
                <w:szCs w:val="20"/>
                <w:color w:val="auto"/>
              </w:rPr>
            </w:pPr>
            <w:r>
              <w:rPr>
                <w:rFonts w:ascii="Arial" w:cs="Arial" w:eastAsia="Arial" w:hAnsi="Arial"/>
                <w:sz w:val="18"/>
                <w:szCs w:val="18"/>
                <w:color w:val="auto"/>
              </w:rPr>
              <w:t>000-19871</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94-3078125</w:t>
            </w:r>
          </w:p>
        </w:tc>
      </w:tr>
      <w:tr>
        <w:trPr>
          <w:trHeight w:val="216"/>
        </w:trPr>
        <w:tc>
          <w:tcPr>
            <w:tcW w:w="304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1"/>
              </w:rPr>
              <w:t>3155 Porter Drive, Palo Alto, California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94304</w:t>
            </w:r>
          </w:p>
        </w:tc>
      </w:tr>
      <w:tr>
        <w:trPr>
          <w:trHeight w:val="216"/>
        </w:trPr>
        <w:tc>
          <w:tcPr>
            <w:tcW w:w="304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40" w:type="dxa"/>
            <w:vAlign w:val="bottom"/>
          </w:tcPr>
          <w:p>
            <w:pPr>
              <w:jc w:val="center"/>
              <w:ind w:right="5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680" w:type="dxa"/>
            <w:vAlign w:val="bottom"/>
            <w:gridSpan w:val="2"/>
          </w:tcPr>
          <w:p>
            <w:pPr>
              <w:ind w:left="66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712"/>
              <w:spacing w:after="0"/>
              <w:rPr>
                <w:sz w:val="20"/>
                <w:szCs w:val="20"/>
                <w:color w:val="auto"/>
              </w:rPr>
            </w:pPr>
            <w:r>
              <w:rPr>
                <w:rFonts w:ascii="Arial" w:cs="Arial" w:eastAsia="Arial" w:hAnsi="Arial"/>
                <w:sz w:val="18"/>
                <w:szCs w:val="18"/>
                <w:color w:val="auto"/>
              </w:rPr>
              <w:t>650.475.3100</w:t>
            </w:r>
          </w:p>
        </w:tc>
      </w:tr>
      <w:tr>
        <w:trPr>
          <w:trHeight w:val="426"/>
        </w:trPr>
        <w:tc>
          <w:tcPr>
            <w:tcW w:w="304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4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4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Effective March 18, 2008, the Company and Progenitor Cell Therapy, LLC ("PCT") amended their existing note purchase agreement to accelerate the date for repayment of the outstanding principal, plus interest, by PCT to June 26, 2008 and to acknowledge that no additional moneys will be lent under the agreement beyond the $1 million previously advanced by the Company. In return, the Company agreed to relax certain restrictive covenants and exclusivity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848360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5" w:right="5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March 20, 2008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Kenneth B.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Kenneth B. Stratton</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General Counsel</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2019-12-11T14:52:35Z</dcterms:created>
  <dcterms:modified xsi:type="dcterms:W3CDTF">2019-12-11T14:52:35Z</dcterms:modified>
</cp:coreProperties>
</file>