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FORM 10-Q</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QUARTERLY REPORT UNDER SECTION 13 OR 15(d)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0"/>
          <w:szCs w:val="20"/>
          <w:color w:val="auto"/>
        </w:rPr>
      </w:pP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222"/>
        </w:trPr>
        <w:tc>
          <w:tcPr>
            <w:tcW w:w="5980" w:type="dxa"/>
            <w:vAlign w:val="bottom"/>
            <w:gridSpan w:val="4"/>
          </w:tcPr>
          <w:p>
            <w:pPr>
              <w:spacing w:after="0"/>
              <w:rPr>
                <w:sz w:val="20"/>
                <w:szCs w:val="20"/>
                <w:color w:val="auto"/>
              </w:rPr>
            </w:pPr>
            <w:r>
              <w:rPr>
                <w:rFonts w:ascii="Arial" w:cs="Arial" w:eastAsia="Arial" w:hAnsi="Arial"/>
                <w:sz w:val="18"/>
                <w:szCs w:val="18"/>
                <w:color w:val="auto"/>
              </w:rPr>
              <w:t>For the quarter ended: June 30, 2003</w:t>
            </w:r>
          </w:p>
        </w:tc>
        <w:tc>
          <w:tcPr>
            <w:tcW w:w="2540" w:type="dxa"/>
            <w:vAlign w:val="bottom"/>
            <w:gridSpan w:val="4"/>
          </w:tcPr>
          <w:p>
            <w:pPr>
              <w:ind w:left="40"/>
              <w:spacing w:after="0"/>
              <w:rPr>
                <w:sz w:val="20"/>
                <w:szCs w:val="20"/>
                <w:color w:val="auto"/>
              </w:rPr>
            </w:pPr>
            <w:r>
              <w:rPr>
                <w:rFonts w:ascii="Arial" w:cs="Arial" w:eastAsia="Arial" w:hAnsi="Arial"/>
                <w:sz w:val="18"/>
                <w:szCs w:val="18"/>
                <w:color w:val="auto"/>
                <w:w w:val="89"/>
              </w:rPr>
              <w:t>Commission File Number: 0-19871</w:t>
            </w:r>
          </w:p>
        </w:tc>
      </w:tr>
      <w:tr>
        <w:trPr>
          <w:trHeight w:val="767"/>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43"/>
                <w:szCs w:val="43"/>
                <w:color w:val="auto"/>
                <w:w w:val="96"/>
              </w:rPr>
              <w:t>STEMCELLS, INC.</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6"/>
        </w:trPr>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37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3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316"/>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(Exact name of registrant as specified in its charter)</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5520" w:type="dxa"/>
            <w:vAlign w:val="bottom"/>
            <w:gridSpan w:val="3"/>
          </w:tcPr>
          <w:p>
            <w:pPr>
              <w:jc w:val="center"/>
              <w:ind w:right="3640"/>
              <w:spacing w:after="0"/>
              <w:rPr>
                <w:sz w:val="20"/>
                <w:szCs w:val="20"/>
                <w:color w:val="auto"/>
              </w:rPr>
            </w:pPr>
            <w:r>
              <w:rPr>
                <w:rFonts w:ascii="Arial" w:cs="Arial" w:eastAsia="Arial" w:hAnsi="Arial"/>
                <w:sz w:val="18"/>
                <w:szCs w:val="18"/>
                <w:color w:val="auto"/>
                <w:w w:val="94"/>
              </w:rPr>
              <w:t>DELAWARE</w:t>
            </w:r>
          </w:p>
        </w:tc>
        <w:tc>
          <w:tcPr>
            <w:tcW w:w="212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94-3078125</w:t>
            </w:r>
          </w:p>
        </w:tc>
        <w:tc>
          <w:tcPr>
            <w:tcW w:w="420" w:type="dxa"/>
            <w:vAlign w:val="bottom"/>
          </w:tcPr>
          <w:p>
            <w:pPr>
              <w:spacing w:after="0"/>
              <w:rPr>
                <w:sz w:val="24"/>
                <w:szCs w:val="24"/>
                <w:color w:val="auto"/>
              </w:rPr>
            </w:pPr>
          </w:p>
        </w:tc>
      </w:tr>
      <w:tr>
        <w:trPr>
          <w:trHeight w:val="104"/>
        </w:trPr>
        <w:tc>
          <w:tcPr>
            <w:tcW w:w="460" w:type="dxa"/>
            <w:vAlign w:val="bottom"/>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3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980" w:type="dxa"/>
            <w:vAlign w:val="bottom"/>
            <w:gridSpan w:val="4"/>
          </w:tcPr>
          <w:p>
            <w:pPr>
              <w:jc w:val="center"/>
              <w:ind w:right="3180"/>
              <w:spacing w:after="0"/>
              <w:rPr>
                <w:sz w:val="20"/>
                <w:szCs w:val="20"/>
                <w:color w:val="auto"/>
              </w:rPr>
            </w:pPr>
            <w:r>
              <w:rPr>
                <w:rFonts w:ascii="Arial" w:cs="Arial" w:eastAsia="Arial" w:hAnsi="Arial"/>
                <w:sz w:val="18"/>
                <w:szCs w:val="18"/>
                <w:color w:val="auto"/>
                <w:w w:val="90"/>
              </w:rPr>
              <w:t>(State or other jurisdiction of</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(I.R.S. Employer</w:t>
            </w:r>
          </w:p>
        </w:tc>
      </w:tr>
      <w:tr>
        <w:trPr>
          <w:trHeight w:val="222"/>
        </w:trPr>
        <w:tc>
          <w:tcPr>
            <w:tcW w:w="5980" w:type="dxa"/>
            <w:vAlign w:val="bottom"/>
            <w:gridSpan w:val="4"/>
          </w:tcPr>
          <w:p>
            <w:pPr>
              <w:jc w:val="center"/>
              <w:ind w:right="3180"/>
              <w:spacing w:after="0"/>
              <w:rPr>
                <w:sz w:val="20"/>
                <w:szCs w:val="20"/>
                <w:color w:val="auto"/>
              </w:rPr>
            </w:pPr>
            <w:r>
              <w:rPr>
                <w:rFonts w:ascii="Arial" w:cs="Arial" w:eastAsia="Arial" w:hAnsi="Arial"/>
                <w:sz w:val="18"/>
                <w:szCs w:val="18"/>
                <w:color w:val="auto"/>
                <w:w w:val="90"/>
              </w:rPr>
              <w:t>incorporation or organization)</w:t>
            </w:r>
          </w:p>
        </w:tc>
        <w:tc>
          <w:tcPr>
            <w:tcW w:w="600" w:type="dxa"/>
            <w:vAlign w:val="bottom"/>
          </w:tcPr>
          <w:p>
            <w:pPr>
              <w:spacing w:after="0"/>
              <w:rPr>
                <w:sz w:val="19"/>
                <w:szCs w:val="19"/>
                <w:color w:val="auto"/>
              </w:rPr>
            </w:pPr>
          </w:p>
        </w:tc>
        <w:tc>
          <w:tcPr>
            <w:tcW w:w="194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identification No)</w:t>
            </w:r>
          </w:p>
        </w:tc>
      </w:tr>
      <w:tr>
        <w:trPr>
          <w:trHeight w:val="453"/>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3155 PORTER DRIVE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PALO ALTO, CA 94304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69850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80010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62" w:lineRule="exact"/>
        <w:rPr>
          <w:sz w:val="20"/>
          <w:szCs w:val="20"/>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93" w:lineRule="exact"/>
        <w:rPr>
          <w:sz w:val="20"/>
          <w:szCs w:val="20"/>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At July 28, 2003, there were 33,823,730 shares of Common Stock, $.01 par value, issued and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 FINANCIAL STATEMENTS</w:t>
        </w:r>
      </w:hyperlink>
    </w:p>
    <w:p>
      <w:pPr>
        <w:ind w:left="620" w:right="3420"/>
        <w:spacing w:after="0" w:line="241"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CONDENSED CONSOLIDATED BALANCE SHEETS</w:t>
        </w:r>
      </w:hyperlink>
      <w:r>
        <w:rPr>
          <w:rFonts w:ascii="Arial" w:cs="Arial" w:eastAsia="Arial" w:hAnsi="Arial"/>
          <w:sz w:val="21"/>
          <w:szCs w:val="21"/>
          <w:u w:val="single" w:color="auto"/>
          <w:color w:val="0000EE"/>
        </w:rPr>
        <w:t xml:space="preserve"> </w:t>
      </w:r>
      <w:hyperlink w:anchor="page6">
        <w:r>
          <w:rPr>
            <w:rFonts w:ascii="Arial" w:cs="Arial" w:eastAsia="Arial" w:hAnsi="Arial"/>
            <w:sz w:val="21"/>
            <w:szCs w:val="21"/>
            <w:u w:val="single" w:color="auto"/>
            <w:color w:val="0000EE"/>
          </w:rPr>
          <w:t>CONDENSED CONSOLIDATED STATEMENTS OF OPERATIONS</w:t>
        </w:r>
      </w:hyperlink>
      <w:r>
        <w:rPr>
          <w:rFonts w:ascii="Arial" w:cs="Arial" w:eastAsia="Arial" w:hAnsi="Arial"/>
          <w:sz w:val="21"/>
          <w:szCs w:val="21"/>
          <w:u w:val="single" w:color="auto"/>
          <w:color w:val="0000EE"/>
        </w:rPr>
        <w:t xml:space="preserve"> </w:t>
      </w:r>
      <w:hyperlink w:anchor="page7">
        <w:r>
          <w:rPr>
            <w:rFonts w:ascii="Arial" w:cs="Arial" w:eastAsia="Arial" w:hAnsi="Arial"/>
            <w:sz w:val="21"/>
            <w:szCs w:val="21"/>
            <w:u w:val="single" w:color="auto"/>
            <w:color w:val="0000EE"/>
          </w:rPr>
          <w:t>CONDENSED STATEMENTS OF CASH FLOWS</w:t>
        </w:r>
      </w:hyperlink>
    </w:p>
    <w:p>
      <w:pPr>
        <w:ind w:left="620"/>
        <w:spacing w:after="0" w:line="232"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CONDENSED CONSOLIDATED FINANCIAL STATEMENTS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2. -MANAGEMENT’S DISCUSSION AND ANALYSIS OF FINANCIAL CONDITION AND RESULTS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70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1. LEGAL PROCEEDINGS</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2. CHANGES IN SECURITIES AND USE OF PROCEEDS</w:t>
        </w:r>
      </w:hyperlink>
    </w:p>
    <w:p>
      <w:pPr>
        <w:ind w:left="320" w:right="272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ITEM 4. SUBMISSION OF MATTERS TO A VOTE OF SECURITY-HOLDERS</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5. OTHER INFORMATION</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31.1</w:t>
      </w:r>
    </w:p>
    <w:p>
      <w:pPr>
        <w:spacing w:after="0" w:line="231"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820" w:top="111" w:right="8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9520" w:type="dxa"/>
            <w:vAlign w:val="bottom"/>
            <w:gridSpan w:val="2"/>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PART I. FINANCIAL INFORMATION</w:t>
            </w:r>
          </w:p>
        </w:tc>
        <w:tc>
          <w:tcPr>
            <w:tcW w:w="1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400" w:type="dxa"/>
            <w:vAlign w:val="bottom"/>
          </w:tcPr>
          <w:p>
            <w:pPr>
              <w:ind w:left="80"/>
              <w:spacing w:after="0"/>
              <w:rPr>
                <w:sz w:val="20"/>
                <w:szCs w:val="20"/>
                <w:color w:val="auto"/>
              </w:rPr>
            </w:pPr>
            <w:r>
              <w:rPr>
                <w:rFonts w:ascii="Arial" w:cs="Arial" w:eastAsia="Arial" w:hAnsi="Arial"/>
                <w:sz w:val="18"/>
                <w:szCs w:val="18"/>
                <w:color w:val="auto"/>
              </w:rPr>
              <w:t>Financial Statements (Unaudited)</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Condensed Consolidated Balance Sheets June 30, 2003 and December 31, 2002</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0" w:type="dxa"/>
            <w:vAlign w:val="bottom"/>
          </w:tcPr>
          <w:p>
            <w:pPr>
              <w:ind w:left="80"/>
              <w:spacing w:after="0"/>
              <w:rPr>
                <w:sz w:val="20"/>
                <w:szCs w:val="20"/>
                <w:color w:val="auto"/>
              </w:rPr>
            </w:pPr>
            <w:r>
              <w:rPr>
                <w:rFonts w:ascii="Arial" w:cs="Arial" w:eastAsia="Arial" w:hAnsi="Arial"/>
                <w:sz w:val="18"/>
                <w:szCs w:val="18"/>
                <w:color w:val="auto"/>
                <w:w w:val="99"/>
              </w:rPr>
              <w:t>Condensed Consolidated Statements of Operations three and six months ended June 30, 2003 and 2002</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Condensed Consolidated Statements of Cash Flows six months ended June 30, 2003 and 2002</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0" w:type="dxa"/>
            <w:vAlign w:val="bottom"/>
          </w:tcPr>
          <w:p>
            <w:pPr>
              <w:ind w:left="80"/>
              <w:spacing w:after="0"/>
              <w:rPr>
                <w:sz w:val="20"/>
                <w:szCs w:val="20"/>
                <w:color w:val="auto"/>
              </w:rPr>
            </w:pPr>
            <w:r>
              <w:rPr>
                <w:rFonts w:ascii="Arial" w:cs="Arial" w:eastAsia="Arial" w:hAnsi="Arial"/>
                <w:sz w:val="18"/>
                <w:szCs w:val="18"/>
                <w:color w:val="auto"/>
              </w:rPr>
              <w:t>Notes to Condensed Consolidated Financial Statements</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Controls and Procedures</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Legal Proceedings</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400" w:type="dxa"/>
            <w:vAlign w:val="bottom"/>
          </w:tcPr>
          <w:p>
            <w:pPr>
              <w:ind w:left="80"/>
              <w:spacing w:after="0"/>
              <w:rPr>
                <w:sz w:val="20"/>
                <w:szCs w:val="20"/>
                <w:color w:val="auto"/>
              </w:rPr>
            </w:pPr>
            <w:r>
              <w:rPr>
                <w:rFonts w:ascii="Arial" w:cs="Arial" w:eastAsia="Arial" w:hAnsi="Arial"/>
                <w:sz w:val="18"/>
                <w:szCs w:val="18"/>
                <w:color w:val="auto"/>
              </w:rPr>
              <w:t>Changes in Securities and use of Proceeds</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Submission of Matters to a Vote of Security-Holders</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40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8400" w:type="dxa"/>
            <w:vAlign w:val="bottom"/>
            <w:shd w:val="clear" w:color="auto" w:fill="EEEEEE"/>
          </w:tcPr>
          <w:p>
            <w:pPr>
              <w:ind w:left="80"/>
              <w:spacing w:after="0"/>
              <w:rPr>
                <w:sz w:val="20"/>
                <w:szCs w:val="20"/>
                <w:color w:val="auto"/>
              </w:rPr>
            </w:pPr>
            <w:r>
              <w:rPr>
                <w:rFonts w:ascii="Arial" w:cs="Arial" w:eastAsia="Arial" w:hAnsi="Arial"/>
                <w:sz w:val="18"/>
                <w:szCs w:val="18"/>
                <w:color w:val="auto"/>
              </w:rPr>
              <w:t>Exhibits and Reports on Form 8-K</w:t>
            </w:r>
          </w:p>
        </w:tc>
        <w:tc>
          <w:tcPr>
            <w:tcW w:w="18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3"/>
              </w:rPr>
              <w:t>SIGNATURES</w:t>
            </w:r>
          </w:p>
        </w:tc>
        <w:tc>
          <w:tcPr>
            <w:tcW w:w="8400" w:type="dxa"/>
            <w:vAlign w:val="bottom"/>
          </w:tcPr>
          <w:p>
            <w:pPr>
              <w:spacing w:after="0"/>
              <w:rPr>
                <w:sz w:val="19"/>
                <w:szCs w:val="19"/>
                <w:color w:val="auto"/>
              </w:rPr>
            </w:pPr>
          </w:p>
        </w:tc>
        <w:tc>
          <w:tcPr>
            <w:tcW w:w="1880" w:type="dxa"/>
            <w:vAlign w:val="bottom"/>
          </w:tcPr>
          <w:p>
            <w:pPr>
              <w:jc w:val="right"/>
              <w:ind w:right="2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0" w:type="dxa"/>
            <w:vAlign w:val="bottom"/>
          </w:tcPr>
          <w:p>
            <w:pPr>
              <w:ind w:left="4540"/>
              <w:spacing w:after="0"/>
              <w:rPr>
                <w:sz w:val="20"/>
                <w:szCs w:val="20"/>
                <w:color w:val="auto"/>
              </w:rPr>
            </w:pPr>
            <w:r>
              <w:rPr>
                <w:rFonts w:ascii="Arial" w:cs="Arial" w:eastAsia="Arial" w:hAnsi="Arial"/>
                <w:sz w:val="18"/>
                <w:szCs w:val="18"/>
                <w:color w:val="auto"/>
              </w:rPr>
              <w:t>2</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4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June 30, 2003</w:t>
            </w:r>
          </w:p>
        </w:tc>
        <w:tc>
          <w:tcPr>
            <w:tcW w:w="300" w:type="dxa"/>
            <w:vAlign w:val="bottom"/>
          </w:tcPr>
          <w:p>
            <w:pPr>
              <w:spacing w:after="0"/>
              <w:rPr>
                <w:sz w:val="15"/>
                <w:szCs w:val="15"/>
                <w:color w:val="auto"/>
              </w:rPr>
            </w:pPr>
          </w:p>
        </w:tc>
        <w:tc>
          <w:tcPr>
            <w:tcW w:w="230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6,534,355</w:t>
            </w:r>
          </w:p>
        </w:tc>
        <w:tc>
          <w:tcPr>
            <w:tcW w:w="6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ind w:left="90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4,236,367</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60"/>
              <w:spacing w:after="0"/>
              <w:rPr>
                <w:sz w:val="20"/>
                <w:szCs w:val="20"/>
                <w:color w:val="auto"/>
              </w:rPr>
            </w:pPr>
            <w:r>
              <w:rPr>
                <w:rFonts w:ascii="Arial" w:cs="Arial" w:eastAsia="Arial" w:hAnsi="Arial"/>
                <w:sz w:val="18"/>
                <w:szCs w:val="18"/>
                <w:color w:val="auto"/>
              </w:rPr>
              <w:t>Receivables</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121,527</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64,892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Other current assets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173,612</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209,389</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2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6,829,494</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4,510,648</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3,974,446</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4,337,711</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560"/>
              <w:spacing w:after="0"/>
              <w:rPr>
                <w:sz w:val="20"/>
                <w:szCs w:val="20"/>
                <w:color w:val="auto"/>
              </w:rPr>
            </w:pPr>
            <w:r>
              <w:rPr>
                <w:rFonts w:ascii="Arial" w:cs="Arial" w:eastAsia="Arial" w:hAnsi="Arial"/>
                <w:sz w:val="18"/>
                <w:szCs w:val="18"/>
                <w:color w:val="auto"/>
              </w:rPr>
              <w:t>Other assets, net</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2,832,681</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2,480,463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13,636,621</w:t>
            </w:r>
          </w:p>
        </w:tc>
        <w:tc>
          <w:tcPr>
            <w:tcW w:w="6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ind w:left="90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11,328,822</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Liabilities, redeemable convertible preferred stock, and stockholders’ equity</w:t>
            </w: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20" w:type="dxa"/>
            <w:vAlign w:val="bottom"/>
            <w:gridSpan w:val="2"/>
            <w:vMerge w:val="continue"/>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497,147</w:t>
            </w:r>
          </w:p>
        </w:tc>
        <w:tc>
          <w:tcPr>
            <w:tcW w:w="680" w:type="dxa"/>
            <w:vAlign w:val="bottom"/>
          </w:tcPr>
          <w:p>
            <w:pPr>
              <w:spacing w:after="0"/>
              <w:rPr>
                <w:sz w:val="18"/>
                <w:szCs w:val="18"/>
                <w:color w:val="auto"/>
              </w:rPr>
            </w:pP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341,995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Accrued expenses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700,412</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427,916</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560"/>
              <w:spacing w:after="0"/>
              <w:rPr>
                <w:sz w:val="20"/>
                <w:szCs w:val="20"/>
                <w:color w:val="auto"/>
              </w:rPr>
            </w:pPr>
            <w:r>
              <w:rPr>
                <w:rFonts w:ascii="Arial" w:cs="Arial" w:eastAsia="Arial" w:hAnsi="Arial"/>
                <w:sz w:val="18"/>
                <w:szCs w:val="18"/>
                <w:color w:val="auto"/>
              </w:rPr>
              <w:t>Current maturities of capital lease obligations</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234,166</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229,166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1,431,725</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999,077</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Capital lease obligations, less current maturities</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1,969,167</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2,086,667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Deposits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314,896</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393,240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1,375,452</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1,402,581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5,091,240</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4,881,565</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3"/>
              </w:rPr>
              <w:t>Redeemable convertible preferred stock, $0.01 par value; 1,000,000 shares authorized</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issuable in series: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4"/>
              </w:rPr>
              <w:t>3% Cumulative convertible preferred stock, 5,000 shares issued and 2,000 and</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2"/>
              </w:rPr>
              <w:t>4,000 shares outstanding at June 30, 2003 and December 31, 2002 respectively</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w w:val="92"/>
              </w:rPr>
              <w:t>(aggregate liquidation preference of $2,000,00 and $4,000,000 at June 30, 2003</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and December 31, 2002 respectively)</w:t>
            </w:r>
          </w:p>
        </w:tc>
        <w:tc>
          <w:tcPr>
            <w:tcW w:w="680" w:type="dxa"/>
            <w:vAlign w:val="bottom"/>
            <w:tcBorders>
              <w:right w:val="single" w:sz="8" w:color="EEEEEE"/>
            </w:tcBorders>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1,659,813</w:t>
            </w:r>
          </w:p>
        </w:tc>
        <w:tc>
          <w:tcPr>
            <w:tcW w:w="6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2,659,686</w:t>
            </w:r>
          </w:p>
        </w:tc>
        <w:tc>
          <w:tcPr>
            <w:tcW w:w="6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8"/>
              </w:rPr>
              <w:t>Common stock, $.01 par value; 75,000,000 shares authorized; 33,804,288 and</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400"/>
              <w:spacing w:after="0"/>
              <w:rPr>
                <w:sz w:val="20"/>
                <w:szCs w:val="20"/>
                <w:color w:val="auto"/>
              </w:rPr>
            </w:pPr>
            <w:r>
              <w:rPr>
                <w:rFonts w:ascii="Arial" w:cs="Arial" w:eastAsia="Arial" w:hAnsi="Arial"/>
                <w:sz w:val="18"/>
                <w:szCs w:val="18"/>
                <w:color w:val="auto"/>
                <w:w w:val="96"/>
              </w:rPr>
              <w:t>26,860,078 shares issued and outstanding at June 30, 2003 and December 31,</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2002, respectively</w:t>
            </w:r>
          </w:p>
        </w:tc>
        <w:tc>
          <w:tcPr>
            <w:tcW w:w="680" w:type="dxa"/>
            <w:vAlign w:val="bottom"/>
            <w:tcBorders>
              <w:right w:val="single" w:sz="8" w:color="EEEEEE"/>
            </w:tcBorders>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338,043</w:t>
            </w:r>
          </w:p>
        </w:tc>
        <w:tc>
          <w:tcPr>
            <w:tcW w:w="6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268,601</w:t>
            </w:r>
          </w:p>
        </w:tc>
        <w:tc>
          <w:tcPr>
            <w:tcW w:w="6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80"/>
              <w:spacing w:after="0"/>
              <w:rPr>
                <w:sz w:val="20"/>
                <w:szCs w:val="20"/>
                <w:color w:val="auto"/>
              </w:rPr>
            </w:pPr>
            <w:r>
              <w:rPr>
                <w:rFonts w:ascii="Arial" w:cs="Arial" w:eastAsia="Arial" w:hAnsi="Arial"/>
                <w:sz w:val="18"/>
                <w:szCs w:val="18"/>
                <w:color w:val="auto"/>
              </w:rPr>
              <w:t>Additional paid in capital</w:t>
            </w: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157,430,228</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149,238,207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Accumulated deficit</w:t>
            </w:r>
          </w:p>
        </w:tc>
        <w:tc>
          <w:tcPr>
            <w:tcW w:w="680" w:type="dxa"/>
            <w:vAlign w:val="bottom"/>
            <w:tcBorders>
              <w:right w:val="single" w:sz="8" w:color="EEEEEE"/>
            </w:tcBorders>
            <w:shd w:val="clear" w:color="auto" w:fill="EEEEEE"/>
          </w:tcPr>
          <w:p>
            <w:pPr>
              <w:spacing w:after="0"/>
              <w:rPr>
                <w:sz w:val="18"/>
                <w:szCs w:val="18"/>
                <w:color w:val="auto"/>
              </w:rPr>
            </w:pPr>
          </w:p>
        </w:tc>
        <w:tc>
          <w:tcPr>
            <w:tcW w:w="162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87"/>
              </w:rPr>
              <w:t>(149,830,447)</w:t>
            </w: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87"/>
              </w:rPr>
              <w:t>(144,661,464)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280"/>
              <w:spacing w:after="0"/>
              <w:rPr>
                <w:sz w:val="20"/>
                <w:szCs w:val="20"/>
                <w:color w:val="auto"/>
              </w:rPr>
            </w:pPr>
            <w:r>
              <w:rPr>
                <w:rFonts w:ascii="Arial" w:cs="Arial" w:eastAsia="Arial" w:hAnsi="Arial"/>
                <w:sz w:val="18"/>
                <w:szCs w:val="18"/>
                <w:color w:val="auto"/>
              </w:rPr>
              <w:t>Deferred compensation</w:t>
            </w:r>
          </w:p>
        </w:tc>
        <w:tc>
          <w:tcPr>
            <w:tcW w:w="680" w:type="dxa"/>
            <w:vAlign w:val="bottom"/>
          </w:tcPr>
          <w:p>
            <w:pPr>
              <w:spacing w:after="0"/>
              <w:rPr>
                <w:sz w:val="19"/>
                <w:szCs w:val="19"/>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(1,052,256)</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(1,057,773)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84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6,885,568</w:t>
            </w: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3,787,571</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vMerge w:val="restart"/>
          </w:tcPr>
          <w:p>
            <w:pPr>
              <w:ind w:left="840"/>
              <w:spacing w:after="0"/>
              <w:rPr>
                <w:sz w:val="20"/>
                <w:szCs w:val="20"/>
                <w:color w:val="auto"/>
              </w:rPr>
            </w:pPr>
            <w:r>
              <w:rPr>
                <w:rFonts w:ascii="Arial" w:cs="Arial" w:eastAsia="Arial" w:hAnsi="Arial"/>
                <w:sz w:val="18"/>
                <w:szCs w:val="18"/>
                <w:color w:val="auto"/>
                <w:w w:val="96"/>
              </w:rPr>
              <w:t>Total liabilities, redeemable convertible preferred stock, and stockholders’</w:t>
            </w: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980"/>
              <w:spacing w:after="0"/>
              <w:rPr>
                <w:sz w:val="20"/>
                <w:szCs w:val="20"/>
                <w:color w:val="auto"/>
              </w:rPr>
            </w:pPr>
            <w:r>
              <w:rPr>
                <w:rFonts w:ascii="Arial" w:cs="Arial" w:eastAsia="Arial" w:hAnsi="Arial"/>
                <w:sz w:val="18"/>
                <w:szCs w:val="18"/>
                <w:color w:val="auto"/>
              </w:rPr>
              <w:t>equity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13,636,621</w:t>
            </w:r>
          </w:p>
        </w:tc>
        <w:tc>
          <w:tcPr>
            <w:tcW w:w="680" w:type="dxa"/>
            <w:vAlign w:val="bottom"/>
          </w:tcPr>
          <w:p>
            <w:pPr>
              <w:spacing w:after="0"/>
              <w:rPr>
                <w:sz w:val="19"/>
                <w:szCs w:val="19"/>
                <w:color w:val="auto"/>
              </w:rPr>
            </w:pP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11,328,822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5260"/>
        <w:spacing w:after="0" w:line="563" w:lineRule="auto"/>
        <w:rPr>
          <w:sz w:val="20"/>
          <w:szCs w:val="20"/>
          <w:color w:val="auto"/>
        </w:rPr>
      </w:pPr>
      <w:r>
        <w:rPr>
          <w:rFonts w:ascii="Arial" w:cs="Arial" w:eastAsia="Arial" w:hAnsi="Arial"/>
          <w:sz w:val="16"/>
          <w:szCs w:val="16"/>
          <w:color w:val="auto"/>
        </w:rPr>
        <w:t>(a) Derived from the Company’s audited financial statements as of December 31, 2002 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2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6"/>
              </w:rPr>
              <w:t>Six months ended</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Revenue from grants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56,250</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88,250</w:t>
            </w:r>
          </w:p>
        </w:tc>
        <w:tc>
          <w:tcPr>
            <w:tcW w:w="4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112,500</w:t>
            </w: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199,549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Revenue from licensing agreements</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4,047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37,079</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60,297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125,329</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119,250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236,628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1,740,102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2,114,514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3,079,896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3,651,510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1,002,631</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1,051,540</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2,071,633</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2,390,912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2,742,733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3,166,054</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5,151,529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6,042,422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9"/>
              </w:rPr>
              <w:t>(2,682,436)</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(3,040,725)</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w w:val="89"/>
              </w:rPr>
              <w:t>(5,032,279)</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(5,805,794)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9,103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42,450</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11,211</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59,971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(53,724)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(59,654)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(107,303)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income (expense)</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14,397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6,219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108"/>
        </w:trPr>
        <w:tc>
          <w:tcPr>
            <w:tcW w:w="40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2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4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(30,224)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(17,204)</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(89,873)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(62,260)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89"/>
              </w:rPr>
              <w:t>(2,712,660)</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(3,057,929)</w:t>
            </w: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w w:val="89"/>
              </w:rPr>
              <w:t>(5,122,152)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(5,868,054)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Dividend to preferred stockholders</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164,825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164,825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Deemed dividend</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1,168,301</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320,001</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1,488,302</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640,002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20" w:type="dxa"/>
            <w:vAlign w:val="bottom"/>
            <w:gridSpan w:val="2"/>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3"/>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3"/>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0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3,927,794)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3,542,755)</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(6,657,287)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6,672,881)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applicable to common</w:t>
            </w:r>
          </w:p>
        </w:tc>
        <w:tc>
          <w:tcPr>
            <w:tcW w:w="4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basic and diluted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0.13)</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0.15)</w:t>
            </w:r>
          </w:p>
        </w:tc>
        <w:tc>
          <w:tcPr>
            <w:tcW w:w="7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0.23)</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31,157,909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24,354,705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29,062,107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24,288,198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June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5,122,152)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5,868,054)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504,402</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194,721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Amortization (recovery) of deferred compensation</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186,413</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(359,729)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Compensation expense relating to the grant of stock options</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216,012</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89,434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Net changes in operating assets and liabilities</w:t>
            </w:r>
          </w:p>
        </w:tc>
        <w:tc>
          <w:tcPr>
            <w:tcW w:w="62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(99,445)</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336,312</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1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(4,314,770)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(5,607,316)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Purchase of property, plant and equipment</w:t>
            </w:r>
          </w:p>
        </w:tc>
        <w:tc>
          <w:tcPr>
            <w:tcW w:w="6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(92,591)</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(110,902)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(92,591)</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(110,902)</w:t>
            </w:r>
          </w:p>
        </w:tc>
        <w:tc>
          <w:tcPr>
            <w:tcW w:w="0" w:type="dxa"/>
            <w:vAlign w:val="bottom"/>
          </w:tcPr>
          <w:p>
            <w:pPr>
              <w:spacing w:after="0"/>
              <w:rPr>
                <w:sz w:val="1"/>
                <w:szCs w:val="1"/>
                <w:color w:val="auto"/>
              </w:rPr>
            </w:pPr>
          </w:p>
        </w:tc>
      </w:tr>
      <w:tr>
        <w:trPr>
          <w:trHeight w:val="108"/>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1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Proceeds from the exercise of stock options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1,578</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net</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6,816,271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Principal payments under capitalized lease obligations</w:t>
            </w:r>
          </w:p>
        </w:tc>
        <w:tc>
          <w:tcPr>
            <w:tcW w:w="620" w:type="dxa"/>
            <w:vAlign w:val="bottom"/>
            <w:tcBorders>
              <w:right w:val="single" w:sz="8" w:color="EEEEEE"/>
            </w:tcBorders>
            <w:shd w:val="clear" w:color="auto" w:fill="EEEEEE"/>
          </w:tcPr>
          <w:p>
            <w:pPr>
              <w:spacing w:after="0"/>
              <w:rPr>
                <w:sz w:val="18"/>
                <w:szCs w:val="18"/>
                <w:color w:val="auto"/>
              </w:rPr>
            </w:pPr>
          </w:p>
        </w:tc>
        <w:tc>
          <w:tcPr>
            <w:tcW w:w="13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(112,500)</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(167,500)</w:t>
            </w:r>
          </w:p>
        </w:tc>
        <w:tc>
          <w:tcPr>
            <w:tcW w:w="0" w:type="dxa"/>
            <w:vAlign w:val="bottom"/>
          </w:tcPr>
          <w:p>
            <w:pPr>
              <w:spacing w:after="0"/>
              <w:rPr>
                <w:sz w:val="1"/>
                <w:szCs w:val="1"/>
                <w:color w:val="auto"/>
              </w:rPr>
            </w:pPr>
          </w:p>
        </w:tc>
      </w:tr>
      <w:tr>
        <w:trPr>
          <w:trHeight w:val="108"/>
        </w:trPr>
        <w:tc>
          <w:tcPr>
            <w:tcW w:w="71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6,705,349</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(196,748)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2,297,988</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w w:val="89"/>
              </w:rPr>
              <w:t>(5,914,966)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4,236,367</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13,697,195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period</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6,534,355</w:t>
            </w:r>
          </w:p>
        </w:tc>
        <w:tc>
          <w:tcPr>
            <w:tcW w:w="6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7,782,229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40" w:type="dxa"/>
            <w:vAlign w:val="bottom"/>
            <w:gridSpan w:val="2"/>
            <w:vMerge w:val="continue"/>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EEEEEE"/>
          </w:tcPr>
          <w:p>
            <w:pPr>
              <w:spacing w:after="0"/>
              <w:rPr>
                <w:sz w:val="20"/>
                <w:szCs w:val="20"/>
                <w:color w:val="auto"/>
              </w:rPr>
            </w:pPr>
            <w:r>
              <w:rPr>
                <w:rFonts w:ascii="Arial" w:cs="Arial" w:eastAsia="Arial" w:hAnsi="Arial"/>
                <w:sz w:val="18"/>
                <w:szCs w:val="18"/>
                <w:color w:val="auto"/>
              </w:rPr>
              <w:t>Interest paid</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107,303</w:t>
            </w:r>
          </w:p>
        </w:tc>
        <w:tc>
          <w:tcPr>
            <w:tcW w:w="60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118,279</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2003 and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six months ended June 30, 2003 are not necessarily indicative of the results that may be expected for the entire fiscal year ending December 31, 2003.</w:t>
      </w:r>
    </w:p>
    <w:p>
      <w:pPr>
        <w:spacing w:after="0" w:line="174" w:lineRule="exact"/>
        <w:rPr>
          <w:sz w:val="20"/>
          <w:szCs w:val="20"/>
          <w:color w:val="auto"/>
        </w:rPr>
      </w:pPr>
    </w:p>
    <w:p>
      <w:pPr>
        <w:jc w:val="both"/>
        <w:ind w:right="100" w:firstLine="436"/>
        <w:spacing w:after="0" w:line="306" w:lineRule="auto"/>
        <w:rPr>
          <w:sz w:val="20"/>
          <w:szCs w:val="20"/>
          <w:color w:val="auto"/>
        </w:rPr>
      </w:pPr>
      <w:r>
        <w:rPr>
          <w:rFonts w:ascii="Arial" w:cs="Arial" w:eastAsia="Arial" w:hAnsi="Arial"/>
          <w:sz w:val="16"/>
          <w:szCs w:val="16"/>
          <w:color w:val="auto"/>
        </w:rPr>
        <w:t>The balance sheet at December 31, 2002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2002, included on Form 10-K.</w:t>
      </w:r>
    </w:p>
    <w:p>
      <w:pPr>
        <w:spacing w:after="0" w:line="161" w:lineRule="exact"/>
        <w:rPr>
          <w:sz w:val="20"/>
          <w:szCs w:val="20"/>
          <w:color w:val="auto"/>
        </w:rPr>
      </w:pPr>
    </w:p>
    <w:p>
      <w:pPr>
        <w:ind w:firstLine="436"/>
        <w:spacing w:after="0" w:line="287" w:lineRule="auto"/>
        <w:rPr>
          <w:sz w:val="20"/>
          <w:szCs w:val="20"/>
          <w:color w:val="auto"/>
        </w:rPr>
      </w:pPr>
      <w:r>
        <w:rPr>
          <w:rFonts w:ascii="Arial" w:cs="Arial" w:eastAsia="Arial" w:hAnsi="Arial"/>
          <w:sz w:val="16"/>
          <w:szCs w:val="16"/>
          <w:color w:val="auto"/>
        </w:rPr>
        <w:t>The Company has incurred significant operating losses and negative cash flows since inception. It has not achieved profitability and may not be able to realize sufficient revenues to achieve or sustain profitability in the future. The Company has very limited liquidity and capital resources and must quickly obtain significant additional capital resources in order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The Company relies on cash balances and proceeds from equity and debt offerings, proceeds from the transfer or sale of intellectual property rights, equipment, facilities or investments, and government grants and funding from collaborative arrangements, if obtainable, to fund its operations. Unless the Company obtains additional capital to sustain its operations on a longer-term basis, these conditions may raise doubt about its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reported in previous years have been reclassified to conform to the 2003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31"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Six months ended</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2"/>
              </w:rPr>
              <w:t>June 30,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00" w:type="dxa"/>
            <w:vAlign w:val="bottom"/>
          </w:tcPr>
          <w:p>
            <w:pPr>
              <w:jc w:val="right"/>
              <w:ind w:right="87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w w:val="91"/>
              </w:rPr>
              <w:t>(6,657,287)</w:t>
            </w: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557"/>
              <w:spacing w:after="0"/>
              <w:rPr>
                <w:sz w:val="20"/>
                <w:szCs w:val="20"/>
                <w:color w:val="auto"/>
              </w:rPr>
            </w:pPr>
            <w:r>
              <w:rPr>
                <w:rFonts w:ascii="Arial" w:cs="Arial" w:eastAsia="Arial" w:hAnsi="Arial"/>
                <w:sz w:val="18"/>
                <w:szCs w:val="18"/>
                <w:color w:val="auto"/>
                <w:w w:val="91"/>
              </w:rPr>
              <w:t>(6,672,881)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9"/>
              </w:rPr>
              <w:t>Weighted average shares used in computing net loss per share, basic and diluted.</w:t>
            </w:r>
          </w:p>
        </w:tc>
        <w:tc>
          <w:tcPr>
            <w:tcW w:w="70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w w:val="86"/>
              </w:rPr>
              <w:t>29,062,107</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jc w:val="right"/>
              <w:ind w:right="617"/>
              <w:spacing w:after="0"/>
              <w:rPr>
                <w:sz w:val="20"/>
                <w:szCs w:val="20"/>
                <w:color w:val="auto"/>
              </w:rPr>
            </w:pPr>
            <w:r>
              <w:rPr>
                <w:rFonts w:ascii="Arial" w:cs="Arial" w:eastAsia="Arial" w:hAnsi="Arial"/>
                <w:sz w:val="18"/>
                <w:szCs w:val="18"/>
                <w:color w:val="auto"/>
                <w:w w:val="86"/>
              </w:rPr>
              <w:t>24,288,198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 applicable to common stockholders, basic and diluted.</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rPr>
              <w:t>(0.23)</w:t>
            </w: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557"/>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80" w:type="dxa"/>
            <w:vAlign w:val="bottom"/>
            <w:gridSpan w:val="3"/>
          </w:tcPr>
          <w:p>
            <w:pPr>
              <w:jc w:val="right"/>
              <w:ind w:right="1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Pr>
          <w:p>
            <w:pPr>
              <w:spacing w:after="0"/>
              <w:rPr>
                <w:sz w:val="22"/>
                <w:szCs w:val="22"/>
                <w:color w:val="auto"/>
              </w:rPr>
            </w:pPr>
          </w:p>
        </w:tc>
        <w:tc>
          <w:tcPr>
            <w:tcW w:w="1680" w:type="dxa"/>
            <w:vAlign w:val="bottom"/>
          </w:tcPr>
          <w:p>
            <w:pPr>
              <w:jc w:val="right"/>
              <w:ind w:right="357"/>
              <w:spacing w:after="0"/>
              <w:rPr>
                <w:sz w:val="20"/>
                <w:szCs w:val="20"/>
                <w:color w:val="auto"/>
              </w:rPr>
            </w:pPr>
            <w:r>
              <w:rPr>
                <w:rFonts w:ascii="Arial" w:cs="Arial" w:eastAsia="Arial" w:hAnsi="Arial"/>
                <w:sz w:val="14"/>
                <w:szCs w:val="14"/>
                <w:b w:val="1"/>
                <w:bCs w:val="1"/>
                <w:color w:val="auto"/>
              </w:rPr>
              <w:t>2003</w:t>
            </w:r>
          </w:p>
        </w:tc>
        <w:tc>
          <w:tcPr>
            <w:tcW w:w="328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Convertible preferred stock</w:t>
            </w:r>
          </w:p>
        </w:tc>
        <w:tc>
          <w:tcPr>
            <w:tcW w:w="1680" w:type="dxa"/>
            <w:vAlign w:val="bottom"/>
            <w:shd w:val="clear" w:color="auto" w:fill="EEEEEE"/>
          </w:tcPr>
          <w:p>
            <w:pPr>
              <w:jc w:val="right"/>
              <w:ind w:right="197"/>
              <w:spacing w:after="0"/>
              <w:rPr>
                <w:sz w:val="20"/>
                <w:szCs w:val="20"/>
                <w:color w:val="auto"/>
              </w:rPr>
            </w:pPr>
            <w:r>
              <w:rPr>
                <w:rFonts w:ascii="Arial" w:cs="Arial" w:eastAsia="Arial" w:hAnsi="Arial"/>
                <w:sz w:val="18"/>
                <w:szCs w:val="18"/>
                <w:color w:val="auto"/>
              </w:rPr>
              <w:t>1,000,000</w:t>
            </w:r>
          </w:p>
        </w:tc>
        <w:tc>
          <w:tcPr>
            <w:tcW w:w="3280" w:type="dxa"/>
            <w:vAlign w:val="bottom"/>
            <w:gridSpan w:val="3"/>
            <w:shd w:val="clear" w:color="auto" w:fill="EEEEEE"/>
          </w:tcPr>
          <w:p>
            <w:pPr>
              <w:jc w:val="right"/>
              <w:ind w:right="82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Outstanding options</w:t>
            </w:r>
          </w:p>
        </w:tc>
        <w:tc>
          <w:tcPr>
            <w:tcW w:w="1680" w:type="dxa"/>
            <w:vAlign w:val="bottom"/>
          </w:tcPr>
          <w:p>
            <w:pPr>
              <w:jc w:val="right"/>
              <w:ind w:right="197"/>
              <w:spacing w:after="0"/>
              <w:rPr>
                <w:sz w:val="20"/>
                <w:szCs w:val="20"/>
                <w:color w:val="auto"/>
              </w:rPr>
            </w:pPr>
            <w:r>
              <w:rPr>
                <w:rFonts w:ascii="Arial" w:cs="Arial" w:eastAsia="Arial" w:hAnsi="Arial"/>
                <w:sz w:val="18"/>
                <w:szCs w:val="18"/>
                <w:color w:val="auto"/>
              </w:rPr>
              <w:t>4,604,578</w:t>
            </w:r>
          </w:p>
        </w:tc>
        <w:tc>
          <w:tcPr>
            <w:tcW w:w="3280" w:type="dxa"/>
            <w:vAlign w:val="bottom"/>
            <w:gridSpan w:val="3"/>
          </w:tcPr>
          <w:p>
            <w:pPr>
              <w:jc w:val="right"/>
              <w:ind w:right="820"/>
              <w:spacing w:after="0"/>
              <w:rPr>
                <w:sz w:val="20"/>
                <w:szCs w:val="20"/>
                <w:color w:val="auto"/>
              </w:rPr>
            </w:pPr>
            <w:r>
              <w:rPr>
                <w:rFonts w:ascii="Arial" w:cs="Arial" w:eastAsia="Arial" w:hAnsi="Arial"/>
                <w:sz w:val="18"/>
                <w:szCs w:val="18"/>
                <w:color w:val="auto"/>
              </w:rPr>
              <w:t>3,768,522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Outstanding warrants</w:t>
            </w:r>
          </w:p>
        </w:tc>
        <w:tc>
          <w:tcPr>
            <w:tcW w:w="1680" w:type="dxa"/>
            <w:vAlign w:val="bottom"/>
            <w:shd w:val="clear" w:color="auto" w:fill="EEEEEE"/>
          </w:tcPr>
          <w:p>
            <w:pPr>
              <w:jc w:val="right"/>
              <w:ind w:right="197"/>
              <w:spacing w:after="0"/>
              <w:rPr>
                <w:sz w:val="20"/>
                <w:szCs w:val="20"/>
                <w:color w:val="auto"/>
              </w:rPr>
            </w:pPr>
            <w:r>
              <w:rPr>
                <w:rFonts w:ascii="Arial" w:cs="Arial" w:eastAsia="Arial" w:hAnsi="Arial"/>
                <w:sz w:val="18"/>
                <w:szCs w:val="18"/>
                <w:color w:val="auto"/>
              </w:rPr>
              <w:t>3,180,238</w:t>
            </w:r>
          </w:p>
        </w:tc>
        <w:tc>
          <w:tcPr>
            <w:tcW w:w="3280" w:type="dxa"/>
            <w:vAlign w:val="bottom"/>
            <w:gridSpan w:val="3"/>
            <w:shd w:val="clear" w:color="auto" w:fill="EEEEEE"/>
          </w:tcPr>
          <w:p>
            <w:pPr>
              <w:jc w:val="right"/>
              <w:ind w:right="820"/>
              <w:spacing w:after="0"/>
              <w:rPr>
                <w:sz w:val="20"/>
                <w:szCs w:val="20"/>
                <w:color w:val="auto"/>
              </w:rPr>
            </w:pPr>
            <w:r>
              <w:rPr>
                <w:rFonts w:ascii="Arial" w:cs="Arial" w:eastAsia="Arial" w:hAnsi="Arial"/>
                <w:sz w:val="18"/>
                <w:szCs w:val="18"/>
                <w:color w:val="auto"/>
              </w:rPr>
              <w:t>1,058,101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98"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we had applied the fair value recognition provisions of FAS 123 to stock-based employee compensation (in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80" w:type="dxa"/>
            <w:vAlign w:val="bottom"/>
            <w:gridSpan w:val="4"/>
          </w:tcPr>
          <w:p>
            <w:pPr>
              <w:jc w:val="right"/>
              <w:ind w:right="113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80" w:type="dxa"/>
            <w:vAlign w:val="bottom"/>
            <w:gridSpan w:val="4"/>
          </w:tcPr>
          <w:p>
            <w:pPr>
              <w:jc w:val="right"/>
              <w:ind w:right="12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tcPr>
          <w:p>
            <w:pPr>
              <w:jc w:val="right"/>
              <w:ind w:right="737"/>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jc w:val="right"/>
              <w:ind w:right="75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60" w:type="dxa"/>
            <w:vAlign w:val="bottom"/>
          </w:tcPr>
          <w:p>
            <w:pPr>
              <w:jc w:val="right"/>
              <w:ind w:right="757"/>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jc w:val="right"/>
              <w:ind w:right="75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 as reported</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w w:val="91"/>
              </w:rPr>
              <w:t>(3,927,794)</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w w:val="91"/>
              </w:rPr>
              <w:t>(3,542,755)</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w w:val="89"/>
              </w:rPr>
              <w:t>(6,657,287)</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w w:val="91"/>
              </w:rPr>
              <w:t>(6,672,881)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7"/>
              </w:rPr>
              <w:t>Add: Stock-based employee/director</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w w:val="97"/>
              </w:rPr>
              <w:t>compensation expense included in</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reported net loss</w:t>
            </w:r>
          </w:p>
        </w:tc>
        <w:tc>
          <w:tcPr>
            <w:tcW w:w="560" w:type="dxa"/>
            <w:vAlign w:val="bottom"/>
          </w:tcPr>
          <w:p>
            <w:pPr>
              <w:spacing w:after="0"/>
              <w:rPr>
                <w:sz w:val="19"/>
                <w:szCs w:val="19"/>
                <w:color w:val="auto"/>
              </w:rPr>
            </w:pPr>
          </w:p>
        </w:tc>
        <w:tc>
          <w:tcPr>
            <w:tcW w:w="1360" w:type="dxa"/>
            <w:vAlign w:val="bottom"/>
          </w:tcPr>
          <w:p>
            <w:pPr>
              <w:jc w:val="right"/>
              <w:ind w:right="477"/>
              <w:spacing w:after="0"/>
              <w:rPr>
                <w:sz w:val="20"/>
                <w:szCs w:val="20"/>
                <w:color w:val="auto"/>
              </w:rPr>
            </w:pPr>
            <w:r>
              <w:rPr>
                <w:rFonts w:ascii="Arial" w:cs="Arial" w:eastAsia="Arial" w:hAnsi="Arial"/>
                <w:sz w:val="18"/>
                <w:szCs w:val="18"/>
                <w:color w:val="auto"/>
              </w:rPr>
              <w:t>63,250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32,750</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ind w:right="497"/>
              <w:spacing w:after="0"/>
              <w:rPr>
                <w:sz w:val="20"/>
                <w:szCs w:val="20"/>
                <w:color w:val="auto"/>
              </w:rPr>
            </w:pPr>
            <w:r>
              <w:rPr>
                <w:rFonts w:ascii="Arial" w:cs="Arial" w:eastAsia="Arial" w:hAnsi="Arial"/>
                <w:sz w:val="18"/>
                <w:szCs w:val="18"/>
                <w:color w:val="auto"/>
              </w:rPr>
              <w:t>130,500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ind w:right="495"/>
              <w:spacing w:after="0"/>
              <w:rPr>
                <w:sz w:val="20"/>
                <w:szCs w:val="20"/>
                <w:color w:val="auto"/>
              </w:rPr>
            </w:pPr>
            <w:r>
              <w:rPr>
                <w:rFonts w:ascii="Arial" w:cs="Arial" w:eastAsia="Arial" w:hAnsi="Arial"/>
                <w:sz w:val="18"/>
                <w:szCs w:val="18"/>
                <w:color w:val="auto"/>
              </w:rPr>
              <w:t>50,687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rPr>
              <w:t>Deduct: Total stock-based</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employee/director compensation</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expense under the fair value based</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method for all awards</w:t>
            </w:r>
          </w:p>
        </w:tc>
        <w:tc>
          <w:tcPr>
            <w:tcW w:w="56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rPr>
              <w:t>(212,110)</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38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rPr>
              <w:t>(246,139)</w:t>
            </w:r>
          </w:p>
        </w:tc>
        <w:tc>
          <w:tcPr>
            <w:tcW w:w="2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rPr>
              <w:t>(457,318)</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38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rPr>
              <w:t>(956,320)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loss applicable to common</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stockholders – proforma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7"/>
              <w:spacing w:after="0"/>
              <w:rPr>
                <w:sz w:val="20"/>
                <w:szCs w:val="20"/>
                <w:color w:val="auto"/>
              </w:rPr>
            </w:pPr>
            <w:r>
              <w:rPr>
                <w:rFonts w:ascii="Arial" w:cs="Arial" w:eastAsia="Arial" w:hAnsi="Arial"/>
                <w:sz w:val="18"/>
                <w:szCs w:val="18"/>
                <w:color w:val="auto"/>
                <w:w w:val="91"/>
              </w:rPr>
              <w:t>(4,076,654)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5"/>
              <w:spacing w:after="0"/>
              <w:rPr>
                <w:sz w:val="20"/>
                <w:szCs w:val="20"/>
                <w:color w:val="auto"/>
              </w:rPr>
            </w:pPr>
            <w:r>
              <w:rPr>
                <w:rFonts w:ascii="Arial" w:cs="Arial" w:eastAsia="Arial" w:hAnsi="Arial"/>
                <w:sz w:val="18"/>
                <w:szCs w:val="18"/>
                <w:color w:val="auto"/>
                <w:w w:val="91"/>
              </w:rPr>
              <w:t>(3,756,144)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7"/>
              <w:spacing w:after="0"/>
              <w:rPr>
                <w:sz w:val="20"/>
                <w:szCs w:val="20"/>
                <w:color w:val="auto"/>
              </w:rPr>
            </w:pPr>
            <w:r>
              <w:rPr>
                <w:rFonts w:ascii="Arial" w:cs="Arial" w:eastAsia="Arial" w:hAnsi="Arial"/>
                <w:sz w:val="18"/>
                <w:szCs w:val="18"/>
                <w:color w:val="auto"/>
                <w:w w:val="89"/>
              </w:rPr>
              <w:t>(6,984,105)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5"/>
              <w:spacing w:after="0"/>
              <w:rPr>
                <w:sz w:val="20"/>
                <w:szCs w:val="20"/>
                <w:color w:val="auto"/>
              </w:rPr>
            </w:pPr>
            <w:r>
              <w:rPr>
                <w:rFonts w:ascii="Arial" w:cs="Arial" w:eastAsia="Arial" w:hAnsi="Arial"/>
                <w:sz w:val="18"/>
                <w:szCs w:val="18"/>
                <w:color w:val="auto"/>
                <w:w w:val="91"/>
              </w:rPr>
              <w:t>(7,578,514)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w w:val="98"/>
              </w:rPr>
              <w:t>Basic and diluted net loss per share</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applicable to common</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as reported</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rPr>
              <w:t>(0.13)</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rPr>
              <w:t>(0.15)</w:t>
            </w:r>
          </w:p>
        </w:tc>
        <w:tc>
          <w:tcPr>
            <w:tcW w:w="8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437"/>
              <w:spacing w:after="0"/>
              <w:rPr>
                <w:sz w:val="20"/>
                <w:szCs w:val="20"/>
                <w:color w:val="auto"/>
              </w:rPr>
            </w:pPr>
            <w:r>
              <w:rPr>
                <w:rFonts w:ascii="Arial" w:cs="Arial" w:eastAsia="Arial" w:hAnsi="Arial"/>
                <w:sz w:val="18"/>
                <w:szCs w:val="18"/>
                <w:color w:val="auto"/>
              </w:rPr>
              <w:t>(0.23)</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435"/>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8"/>
              </w:rPr>
              <w:t>Basic and diluted net loss per share</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applicable to common</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stockholders – pro forma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7"/>
              <w:spacing w:after="0"/>
              <w:rPr>
                <w:sz w:val="20"/>
                <w:szCs w:val="20"/>
                <w:color w:val="auto"/>
              </w:rPr>
            </w:pPr>
            <w:r>
              <w:rPr>
                <w:rFonts w:ascii="Arial" w:cs="Arial" w:eastAsia="Arial" w:hAnsi="Arial"/>
                <w:sz w:val="18"/>
                <w:szCs w:val="18"/>
                <w:color w:val="auto"/>
              </w:rPr>
              <w:t>(0.13)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5"/>
              <w:spacing w:after="0"/>
              <w:rPr>
                <w:sz w:val="20"/>
                <w:szCs w:val="20"/>
                <w:color w:val="auto"/>
              </w:rPr>
            </w:pPr>
            <w:r>
              <w:rPr>
                <w:rFonts w:ascii="Arial" w:cs="Arial" w:eastAsia="Arial" w:hAnsi="Arial"/>
                <w:sz w:val="18"/>
                <w:szCs w:val="18"/>
                <w:color w:val="auto"/>
              </w:rPr>
              <w:t>(0.15)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37"/>
              <w:spacing w:after="0"/>
              <w:rPr>
                <w:sz w:val="20"/>
                <w:szCs w:val="20"/>
                <w:color w:val="auto"/>
              </w:rPr>
            </w:pPr>
            <w:r>
              <w:rPr>
                <w:rFonts w:ascii="Arial" w:cs="Arial" w:eastAsia="Arial" w:hAnsi="Arial"/>
                <w:sz w:val="18"/>
                <w:szCs w:val="18"/>
                <w:color w:val="auto"/>
              </w:rPr>
              <w:t>(0.24)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5"/>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Arial" w:cs="Arial" w:eastAsia="Arial" w:hAnsi="Arial"/>
                <w:sz w:val="18"/>
                <w:szCs w:val="18"/>
                <w:color w:val="auto"/>
                <w:w w:val="94"/>
              </w:rPr>
              <w:t>Shares used in basic and diluted loss</w:t>
            </w:r>
          </w:p>
        </w:tc>
        <w:tc>
          <w:tcPr>
            <w:tcW w:w="5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per share amounts</w:t>
            </w:r>
          </w:p>
        </w:tc>
        <w:tc>
          <w:tcPr>
            <w:tcW w:w="56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477"/>
              <w:spacing w:after="0"/>
              <w:rPr>
                <w:sz w:val="20"/>
                <w:szCs w:val="20"/>
                <w:color w:val="auto"/>
              </w:rPr>
            </w:pPr>
            <w:r>
              <w:rPr>
                <w:rFonts w:ascii="Arial" w:cs="Arial" w:eastAsia="Arial" w:hAnsi="Arial"/>
                <w:sz w:val="18"/>
                <w:szCs w:val="18"/>
                <w:color w:val="auto"/>
                <w:w w:val="86"/>
              </w:rPr>
              <w:t>31,157,909</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380" w:type="dxa"/>
            <w:vAlign w:val="bottom"/>
            <w:shd w:val="clear" w:color="auto" w:fill="EEEEEE"/>
          </w:tcPr>
          <w:p>
            <w:pPr>
              <w:jc w:val="right"/>
              <w:ind w:right="495"/>
              <w:spacing w:after="0"/>
              <w:rPr>
                <w:sz w:val="20"/>
                <w:szCs w:val="20"/>
                <w:color w:val="auto"/>
              </w:rPr>
            </w:pPr>
            <w:r>
              <w:rPr>
                <w:rFonts w:ascii="Arial" w:cs="Arial" w:eastAsia="Arial" w:hAnsi="Arial"/>
                <w:sz w:val="18"/>
                <w:szCs w:val="18"/>
                <w:color w:val="auto"/>
                <w:w w:val="86"/>
              </w:rPr>
              <w:t>24,354,705</w:t>
            </w:r>
          </w:p>
        </w:tc>
        <w:tc>
          <w:tcPr>
            <w:tcW w:w="24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497"/>
              <w:spacing w:after="0"/>
              <w:rPr>
                <w:sz w:val="20"/>
                <w:szCs w:val="20"/>
                <w:color w:val="auto"/>
              </w:rPr>
            </w:pPr>
            <w:r>
              <w:rPr>
                <w:rFonts w:ascii="Arial" w:cs="Arial" w:eastAsia="Arial" w:hAnsi="Arial"/>
                <w:sz w:val="18"/>
                <w:szCs w:val="18"/>
                <w:color w:val="auto"/>
                <w:w w:val="84"/>
              </w:rPr>
              <w:t>29,062,107</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380" w:type="dxa"/>
            <w:vAlign w:val="bottom"/>
            <w:shd w:val="clear" w:color="auto" w:fill="EEEEEE"/>
          </w:tcPr>
          <w:p>
            <w:pPr>
              <w:jc w:val="right"/>
              <w:ind w:right="495"/>
              <w:spacing w:after="0"/>
              <w:rPr>
                <w:sz w:val="20"/>
                <w:szCs w:val="20"/>
                <w:color w:val="auto"/>
              </w:rPr>
            </w:pPr>
            <w:r>
              <w:rPr>
                <w:rFonts w:ascii="Arial" w:cs="Arial" w:eastAsia="Arial" w:hAnsi="Arial"/>
                <w:sz w:val="18"/>
                <w:szCs w:val="18"/>
                <w:color w:val="auto"/>
                <w:w w:val="86"/>
              </w:rPr>
              <w:t>24,288,198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436"/>
        <w:spacing w:after="0" w:line="259"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94"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color w:val="auto"/>
        </w:rPr>
        <w:t>The company accounts for stock options granted to non-employees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20" w:firstLine="439"/>
        <w:spacing w:after="0" w:line="323" w:lineRule="auto"/>
        <w:rPr>
          <w:sz w:val="20"/>
          <w:szCs w:val="20"/>
          <w:color w:val="auto"/>
        </w:rPr>
      </w:pPr>
      <w:r>
        <w:rPr>
          <w:rFonts w:ascii="Arial" w:cs="Arial" w:eastAsia="Arial" w:hAnsi="Arial"/>
          <w:sz w:val="15"/>
          <w:szCs w:val="15"/>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 based milestones are recognized as revenue upon their completion, as defined in the respective agreements. Incidental assignment of technology rights is recognized as revenue at the time of receipt.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231" w:lineRule="exact"/>
        <w:rPr>
          <w:sz w:val="20"/>
          <w:szCs w:val="20"/>
          <w:color w:val="auto"/>
        </w:rPr>
      </w:pPr>
    </w:p>
    <w:p>
      <w:pPr>
        <w:ind w:right="100" w:firstLine="436"/>
        <w:spacing w:after="0" w:line="294"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5.1% to 9.5%. The outstanding principal at June 30, 2003 was approximately $2,203,000. The bonds contain certain restrictive covenants, which limit among other things, the payment of cash dividends and the sale of the related assets.</w:t>
      </w:r>
    </w:p>
    <w:p>
      <w:pPr>
        <w:spacing w:after="0" w:line="170" w:lineRule="exact"/>
        <w:rPr>
          <w:sz w:val="20"/>
          <w:szCs w:val="20"/>
          <w:color w:val="auto"/>
        </w:rPr>
      </w:pPr>
    </w:p>
    <w:p>
      <w:pPr>
        <w:ind w:right="260" w:firstLine="436"/>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June 30, 2003, the Company had $1,175,452 in deferred rent expense for this facility.</w:t>
      </w:r>
    </w:p>
    <w:p>
      <w:pPr>
        <w:spacing w:after="0" w:line="194" w:lineRule="exact"/>
        <w:rPr>
          <w:sz w:val="20"/>
          <w:szCs w:val="20"/>
          <w:color w:val="auto"/>
        </w:rPr>
      </w:pPr>
    </w:p>
    <w:p>
      <w:pPr>
        <w:ind w:firstLine="429"/>
        <w:spacing w:after="0" w:line="287"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portions (but not all) of the pilot manufacturing facility and the laboratory facility. In the case of each lease, the current sublease rental income received by the Company is significantly less than the Company’s obligations under the lease, and the Company’s continued receipt of rental income is dependent on the financial ability of the occupants (all of whom are early stage biomedical companies) to comply with their obligations under the subleases. As part of one of the subleasing agreements for the laboratory facility, the Company was required to provide the landlord with two letters of credit: one for $106,560, which expired on March 31, 2003, and the other for $159,000 which will automatically decrease to $106,053 on March 15, 2005 and $52,947 on March 15,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77" w:lineRule="exact"/>
        <w:rPr>
          <w:sz w:val="20"/>
          <w:szCs w:val="20"/>
          <w:color w:val="auto"/>
        </w:rPr>
      </w:pPr>
    </w:p>
    <w:p>
      <w:pPr>
        <w:ind w:right="180" w:firstLine="429"/>
        <w:spacing w:after="0" w:line="306"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rent per year over the term of the lease from approximately $3.15 million to $2.1 million. As part of the amendment the Company issued a letter of credit on January 2, 2003 for $503,079, which was an addition to the letter of credit in the amount of $275,000 issued at commencement of the lease, to serve as a deposit for the duration of the lease. As the lease involved an upfront payment as well as escalating rent payments, the Company is recognizing rent expense on a straight-line basis. In 2001 and 2002, the Company entered into space-sharing agreements currently covering in total approximately 15,000 square feet of the 40,000 square foot facility. The Company expects to receive the amount of base rent plus the proportionate share of the operating expenses that it pays for such space over the term of these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w:t>
      </w:r>
    </w:p>
    <w:p>
      <w:pPr>
        <w:spacing w:after="0" w:line="231"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$56,250 in 2001, $225,000 for 2002 and $112,500 for the six-month period ended June 30,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Securities</w:t>
      </w:r>
    </w:p>
    <w:p>
      <w:pPr>
        <w:spacing w:after="0" w:line="231"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There is neither a requirement that the Company draw on the facility nor a penalty for not doing so. The equity line agreement expires in December 2003.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 We did draw down $4,000,000 in July of 2001, $118,000 in December of 2002, $66,000 in January of 2003, and $375,000 in May of 2003, before applicable fees.</w:t>
      </w:r>
    </w:p>
    <w:p>
      <w:pPr>
        <w:spacing w:after="0" w:line="172"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On May 7, 2003, the Company entered into a stock purchase agreement with The Riverview Group, LLC, (Riverview), a wholly owned subsidiary of Millennium Partners, under which it agreed to purchase 4 million shares of the Company’s common stock for $6.5 million, or $1.625 per share. On the date of the agreement, the price was above the trading price of the Company’s common stock, which closed at $1.43 per share on that date. The Company also agreed to issue a 2-year warrant to Riverview to purchase 1,898,000 shares of common stock at $1.50 per share. The exercise price is subject to adjustment for stock splits, dividends, distributions, reclassifications and similar events. On May 15, the Company issued the purchased shares and the warrant, and registered the resale of the purchased shares and the shares underlying the warrant. The exercise price may be below the trading market price at the time of the exercise. In the event that certain conditions are met, including the closing sale price of the Common Stock remaining at or above $2.50 per share for 10 consecutive trading days, the Company may require Riverview to exercise or relinquish any remaining warrant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31" w:lineRule="exact"/>
        <w:rPr>
          <w:sz w:val="20"/>
          <w:szCs w:val="20"/>
          <w:color w:val="auto"/>
        </w:rPr>
      </w:pPr>
    </w:p>
    <w:p>
      <w:pPr>
        <w:ind w:right="120" w:firstLine="439"/>
        <w:spacing w:after="0" w:line="255" w:lineRule="auto"/>
        <w:rPr>
          <w:sz w:val="20"/>
          <w:szCs w:val="20"/>
          <w:color w:val="auto"/>
        </w:rPr>
      </w:pPr>
      <w:r>
        <w:rPr>
          <w:rFonts w:ascii="Arial" w:cs="Arial" w:eastAsia="Arial" w:hAnsi="Arial"/>
          <w:sz w:val="18"/>
          <w:szCs w:val="18"/>
          <w:color w:val="auto"/>
        </w:rPr>
        <w:t>On December 4, 2001, the Company issued 5,000 shares of 3% cumulative convertible preferred stock to Riverview plus a 5-year warrant to purchase 350,877 shares of common stock at $3.42 per share. The Company received net proceeds of $4,727,515. This preferred stock is convertible into shares of the Company’s common stock at an initial conversion price of $2.00 per share at the option of Riverview. A mandatory redemption feature requires the Company to redeem unconverted preferred stock on December 4, 2003; 2,000 shares of the preferred stock, with a redemption value of $2,000,000, remain outstanding as of June 30, 2003.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The conversion price is subject to adjustment for stock splits, dividends, distributions, reclassifications and similar events. The conversion price may be below the trading market price at the time of the conversion. The final closing price of the Company’s common stock on the NASDAQ National Market on December 4, 2001 was $2.90 per share. The Company has valued the warrants and the beneficial conversion feature reflecting the December 4, 2001 commitment date and the most beneficial per share discount available to the preferred shareholders. That value, including issuance costs of $272,485, is $3,185,000. Because the value is less than the stated redemption, it is recorded as a discount to the preferred shares. The preferred shares will be accreted to their mandatory redemption amount and the accretion will result in a deemed dividend. The deemed dividend has been reflected as an adjustment to net loss applicable to common stockholders. On December 7, 2001, Riverview converted 1,000 shares of its 3% cumulative convertible preferred stock into 500,125 shares of the Company’s common stock. On April 9, 2003, the Company agreed with Riverview to reduce the conversion price to $0.80 per share for a period of 20 trading days. Riverview agreed that it would immediately convert half of its remaining holding, 2,000 shares with a face value of $2 million, at the reduced price. Riverview received 2,521,042 shares of common stock upon conversion, including accrued and unpaid dividends. This transaction relieves the Company of the obligation to redeem the converted shares for cash at their face value on December 4, 2003. The other 2,000 shares remain outstanding. As a result of the change in the conversion price, the Company recorded a deemed dividend to preferred shareholders of approximately $1,000,000 in the second quarter of 2003.</w:t>
      </w:r>
    </w:p>
    <w:p>
      <w:pPr>
        <w:spacing w:after="0" w:line="178"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The holders of the preferred stock have liquidation rights equal to their original investment plus accrued but unpaid dividends. Dividends due on the shares of the preferred stock outstanding on a Dividend Payment Date (June 30 and December 31) may be paid in the Company’s common stock if the Company so elects by such date. The Company elected to pay the June 30, 2002, the December 31, 2002 and the June 30, 2003 dividends in stock valued at approximately $60,000, $69,000 and $30,000 respectively. Accordingly, 38,313, 59,656 and 17,935 shares of common stock respectively were issued on July 3, 2002, December 23, 2002 and June 30, 2003.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right="400" w:firstLine="436"/>
        <w:spacing w:after="0" w:line="33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six-month period ended June 30, 2003 and 2002 should be read in conjunction with the accompanying unaudited condensed consolidated financial statements and the related footnotes thereto.</w:t>
      </w:r>
    </w:p>
    <w:p>
      <w:pPr>
        <w:spacing w:after="0" w:line="139" w:lineRule="exact"/>
        <w:rPr>
          <w:sz w:val="20"/>
          <w:szCs w:val="20"/>
          <w:color w:val="auto"/>
        </w:rPr>
      </w:pPr>
    </w:p>
    <w:p>
      <w:pPr>
        <w:ind w:firstLine="436"/>
        <w:spacing w:after="0" w:line="305" w:lineRule="auto"/>
        <w:rPr>
          <w:sz w:val="20"/>
          <w:szCs w:val="20"/>
          <w:color w:val="auto"/>
        </w:rPr>
      </w:pPr>
      <w:r>
        <w:rPr>
          <w:rFonts w:ascii="Arial" w:cs="Arial" w:eastAsia="Arial" w:hAnsi="Arial"/>
          <w:sz w:val="15"/>
          <w:szCs w:val="15"/>
          <w:color w:val="auto"/>
        </w:rPr>
        <w:t>This report includes forward-looking statements. You can identify these statements by forward-looking words such as “may,” “could,” “will,” “possibly,” “expect,” “anticipate,” “project,” “promising,” “believe,” “estimate,” “continue” or similar words. You should read statements that contain these words carefully because they discuss our future expectations, contain projections of our future results of operations or of our financial condition, or state other “forward-looking” information. These forward-looking statements include, for example,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failure to obtain a corporate partner or partners to support the development of our stem cell programs, inability to sell, assign or sublease our interest in our facilities related to our encapsulated cell technology program, risks of delays in, or adverse results from, our research, development and clinical testing programs, obsolescence of our technology, lack of available funding, contaminations at our facilities, changes in the pharmaceutical or biotechnology industries, competition from third parties, intellectual property rights of third parties, failure of our collaborators to perform, regulatory constraints, litigation, changes in government regulations or general economic or market conditions and other risks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2002 could harm our business, operating results and financial condition. All forward-looking statements attributable to us or to persons acting on our behalf are expressly qualified in their entirety by the cautionary statements and risk factors contained or referred to herein.</w:t>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39"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74" w:lineRule="exact"/>
        <w:rPr>
          <w:sz w:val="20"/>
          <w:szCs w:val="20"/>
          <w:color w:val="auto"/>
        </w:rPr>
      </w:pPr>
    </w:p>
    <w:p>
      <w:pPr>
        <w:ind w:right="140" w:firstLine="439"/>
        <w:spacing w:after="0" w:line="255" w:lineRule="auto"/>
        <w:rPr>
          <w:sz w:val="20"/>
          <w:szCs w:val="20"/>
          <w:color w:val="auto"/>
        </w:rPr>
      </w:pPr>
      <w:r>
        <w:rPr>
          <w:rFonts w:ascii="Arial" w:cs="Arial" w:eastAsia="Arial" w:hAnsi="Arial"/>
          <w:sz w:val="18"/>
          <w:szCs w:val="18"/>
          <w:color w:val="auto"/>
        </w:rPr>
        <w:t>In 2001, we entered into two significant financing agreements: In May, 2001 we entered into an equity line enabling us to draw up to $30,000,000 subject to various restrictions, and we did draw down $4,000,000 in July of 2001, $118,000 in December of 2002, $66,000 in January of 2003, and $375,000 in May of 2003, before applicable fees. The terms of the equity line, which expires in December 2003, restrict the amount of any draw down by a formula that depends in part on the trading volume of our stock over a certain period of time. In December of 2001, we issued 5,000 shares of 3% convertible preferred stock for $5,000,000 to The Riverview Group, LLC, (Riverview).</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Riverview converted 1,000 shares in December 2001, and, in April 2003, at a reduced price agreed to between us and Riverview, converted half of its remaining holding, 2,000 shares with a face value of $2 million. These transactions will relieve us of the obligation to redeem the converted shares for cash at their face value on December 4, 2003. The other 2,000 shares remain outstanding. Pursuant to a Stock Purchase Agreement dated May 7, 2003, on May 15, 2003, Riverview purchased 4,000,000 shares of our common stock at $1.625 per share, for a total of $6.5 million, including a warrant to purchase 1,898,000 shares of common stock at $1.50 per share. (See “Liquidity and Capital Resources” below for further detail on each of these transactions.)</w:t>
      </w:r>
    </w:p>
    <w:p>
      <w:pPr>
        <w:spacing w:after="0" w:line="170" w:lineRule="exact"/>
        <w:rPr>
          <w:sz w:val="20"/>
          <w:szCs w:val="20"/>
          <w:color w:val="auto"/>
        </w:rPr>
      </w:pPr>
    </w:p>
    <w:p>
      <w:pPr>
        <w:ind w:right="140" w:firstLine="439"/>
        <w:spacing w:after="0" w:line="256" w:lineRule="auto"/>
        <w:rPr>
          <w:sz w:val="20"/>
          <w:szCs w:val="20"/>
          <w:color w:val="auto"/>
        </w:rPr>
      </w:pPr>
      <w:r>
        <w:rPr>
          <w:rFonts w:ascii="Arial" w:cs="Arial" w:eastAsia="Arial" w:hAnsi="Arial"/>
          <w:sz w:val="18"/>
          <w:szCs w:val="18"/>
          <w:color w:val="auto"/>
        </w:rPr>
        <w:t>In September 2002, after reviewing our operating cost structure, we initiated a cost reduction program that curtails expenditures on our discovery research activities in favor of channeling resources into accelerating preclinical development of our propriety cells for the treatment of neural and liver disease. The program was implemented in the last quarter of 2002. Components of the program included the negotiation of a substantial reduction in operating lease rent as well as a reduction of staff and expenses.</w:t>
      </w:r>
    </w:p>
    <w:p>
      <w:pPr>
        <w:spacing w:after="0" w:line="197"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SCIENTIFIC UPDATE</w:t>
      </w:r>
    </w:p>
    <w:p>
      <w:pPr>
        <w:spacing w:after="0" w:line="225" w:lineRule="exact"/>
        <w:rPr>
          <w:sz w:val="20"/>
          <w:szCs w:val="20"/>
          <w:color w:val="auto"/>
        </w:rPr>
      </w:pPr>
    </w:p>
    <w:p>
      <w:pPr>
        <w:ind w:firstLine="429"/>
        <w:spacing w:after="0" w:line="286" w:lineRule="auto"/>
        <w:rPr>
          <w:sz w:val="20"/>
          <w:szCs w:val="20"/>
          <w:color w:val="auto"/>
        </w:rPr>
      </w:pPr>
      <w:r>
        <w:rPr>
          <w:rFonts w:ascii="Arial" w:cs="Arial" w:eastAsia="Arial" w:hAnsi="Arial"/>
          <w:sz w:val="16"/>
          <w:szCs w:val="16"/>
          <w:color w:val="auto"/>
        </w:rPr>
        <w:t>As previously reported, the results of preclinical studies using our human central nervous system stem cells (hCNS-SCs) in animal models of Batten Disease and Spinal Cord Injury were presented at scientific meetings during the second quarter of 2003. In each case, the results established proof of principle as to the potential for use of the hCNS-SCs. The spinal cord injury study was conducted by Dr. Aileen J. Anderson and Dr. Brian J. Cummings, of the Reeve-Irvine Center at the University of California, Irvine. Injured mice transplanted with hCNS-SC showed improved motor function in quantitative tests designed to measure functional recovery from complete hind limb paralysis to normal walking, in comparison with controls. A direct link has also been made between the amount of functional recovery and the level of human cell engraftment. Additionally, the hCNS-SC does not contribute to scarring due to glial cell proliferation, which normally inhibits neuronal cell growth and recovery. Batten disease, a set of several closely related genetic disorders, is caused by deficiency of an enzyme required for normal cell metabolism. This deficiency results in storage of toxic waste materials and the death of certain neurons. Batten Disease primarily affects infants and young children, and is fatal. In studies done at the Stanford University laboratory of Dr. William Mobley and at our own laboratories, transplantation of the hCNS-SCs into mice designed to model Batten Disease resulted in widespread engraftment, persistent production of the enzyme that is deficient in this disease, reduction in the toxic waste material and preliminary indications of improved neuronal survival. More work is certainly needed, but although these small studies in mouse models cannot be taken to assure the success of our cells in humans, we are very pleased with both of them. The results encourage us in our hope that our cells will realize their potential to treat, and even cure, these and other disorders of the central nervous system.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560" w:firstLine="436"/>
        <w:spacing w:after="0" w:line="268"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60" w:firstLine="43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60" w:firstLine="429"/>
        <w:spacing w:after="0" w:line="286" w:lineRule="auto"/>
        <w:rPr>
          <w:sz w:val="20"/>
          <w:szCs w:val="20"/>
          <w:color w:val="auto"/>
        </w:rPr>
      </w:pPr>
      <w:r>
        <w:rPr>
          <w:rFonts w:ascii="Arial" w:cs="Arial" w:eastAsia="Arial" w:hAnsi="Arial"/>
          <w:sz w:val="16"/>
          <w:szCs w:val="16"/>
          <w:color w:val="auto"/>
        </w:rPr>
        <w:t>As permitted by the provisions of Statement of Financial Accounting Standards (“FAS”) No. 148, “Accounting for Stock-Based Compensation — Transition and Disclosure,” and Statement of Financial Accounting Standards No. 123, “Accounting for Stock-Based Compensation,” 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 Note 11 of the Notes to the Consolidated Financial Statements, included in our Annual Report on Form 10K, describes our equity compensation plans, and Note 1 of the Notes to the Condensed Consolidated Financial Statements elsewhere in this report, contains a summary of the pro forma effects to reported net loss and loss per share for the three and six months ended June 30, 2003 and 2002 as if we had elected to recognize compensation cost based on the fair value of the options granted at grant date, as prescribed by FAS No. 123.</w:t>
      </w:r>
    </w:p>
    <w:p>
      <w:pPr>
        <w:spacing w:after="0" w:line="181"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For certain stock options granted to non-employees, the Company accounts for these grants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120" w:firstLine="436"/>
        <w:spacing w:after="0" w:line="256"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2003 and 2002</w:t>
      </w:r>
    </w:p>
    <w:p>
      <w:pPr>
        <w:spacing w:after="0" w:line="231" w:lineRule="exact"/>
        <w:rPr>
          <w:sz w:val="20"/>
          <w:szCs w:val="20"/>
          <w:color w:val="auto"/>
        </w:rPr>
      </w:pPr>
    </w:p>
    <w:p>
      <w:pPr>
        <w:ind w:right="160" w:firstLine="439"/>
        <w:spacing w:after="0" w:line="318" w:lineRule="auto"/>
        <w:rPr>
          <w:sz w:val="20"/>
          <w:szCs w:val="20"/>
          <w:color w:val="auto"/>
        </w:rPr>
      </w:pPr>
      <w:r>
        <w:rPr>
          <w:rFonts w:ascii="Arial" w:cs="Arial" w:eastAsia="Arial" w:hAnsi="Arial"/>
          <w:sz w:val="15"/>
          <w:szCs w:val="15"/>
          <w:color w:val="auto"/>
        </w:rPr>
        <w:t>For the three months ended June 30, 2003, revenue from grants and licensing agreements totaled approximately $60,000, which includes $56,000 that is a part of the grant awarded by the National Institute of Diabetes &amp; Digestive &amp; Kidney Disorders of the National Institutes of Health, and $4,000 in licensing revenue. For the three months ended June 30, 2002, revenue from grants and licensing agreements totaled approximately $125,000, which includes $32,000 that is a part of the grant awarded by the National Institutes of Health’s Small Business Innovation Research (SBIR) office, now concluded, $56,000 that is a part of the grant awarded by the National Institute of Diabetes &amp; Digestive &amp; Kidney Disorders of the National Institutes of Health and $37,000 in licensing revenue.</w:t>
      </w:r>
    </w:p>
    <w:p>
      <w:pPr>
        <w:spacing w:after="0" w:line="154"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Research and development expenses totaled $1,740,000 for the three months ended June 30, 2003, compared with $2,115,000 for the same period in 2002. The decrease of $375,000 or approximately 18% from 2002 to 2003 was primarily attributable to the effect of a reduction in rent expense allocated to research and development as a result of an amendment to the lease on our current facilities in California. On December 19, 2002 the Company negotiated an amendment to the lease, which resulted in reducing the average rent per year over the term of the lease from approximately $3.15 million to $2.1 million. The decrease was also partly attributable to the effect of a cost reduction program initiated in September 2002, which resulted in a reduction of our workforce and other operating expenses. The decrease in expenses was partially offset by the effect of a higher valuation of non-qualified stock options on compensation cost for the three months ended June 30, 2003 as compared to the same period in 2002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by the forgiveness of a housing loan in accordance with its terms, that had been made to a non-officer employee. At June 30, 2003 we had twenty full-time employees working in research and development and laboratory support services as compared to thirty at June 30, 2002.</w:t>
      </w:r>
    </w:p>
    <w:p>
      <w:pPr>
        <w:spacing w:after="0" w:line="139"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General and administrative expenses were $1,003,000 for the three months ended June 30, 2003, compared with $1,052,000 for the same period in 2002. The decrease of $49,000 or 5%, from 2002 to 2003 was primarily attributable to the effect of the cost reduction program initiated in September 2002. The decrease was also partly attributable to a reduction in rent expense allocated to general and administrative as a result of an amendment to the lease on our current facilities in California. Included in general and administrative expenses are operating expenses net of subtenant income related to maintaining our facilities in Rhode Island. Even though it is our intent to dispose of these facilities at the earliest possible time, we cannot determine with certainty a fixed date by which such disposal will occur.</w:t>
      </w:r>
    </w:p>
    <w:p>
      <w:pPr>
        <w:spacing w:after="0" w:line="198"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Interest income for the three months ended June 30, 2003 and 2002 was $9,000 and $42,450 respectively. The decrease in interest income in 2003 was attributable to lower average investment balance. Interest expense for the three months ended June 30, 2003 and 2002 was $54,000 and $60,000 respectively. The decrease in interest expense in 2003 was attributable to lower outstanding debt and capital lease balances in 2003 compared to 2002.</w:t>
      </w:r>
    </w:p>
    <w:p>
      <w:pPr>
        <w:spacing w:after="0" w:line="161" w:lineRule="exact"/>
        <w:rPr>
          <w:sz w:val="20"/>
          <w:szCs w:val="20"/>
          <w:color w:val="auto"/>
        </w:rPr>
      </w:pPr>
    </w:p>
    <w:p>
      <w:pPr>
        <w:ind w:right="220" w:firstLine="439"/>
        <w:spacing w:after="0" w:line="254" w:lineRule="auto"/>
        <w:rPr>
          <w:sz w:val="20"/>
          <w:szCs w:val="20"/>
          <w:color w:val="auto"/>
        </w:rPr>
      </w:pPr>
      <w:r>
        <w:rPr>
          <w:rFonts w:ascii="Arial" w:cs="Arial" w:eastAsia="Arial" w:hAnsi="Arial"/>
          <w:sz w:val="18"/>
          <w:szCs w:val="18"/>
          <w:color w:val="auto"/>
        </w:rPr>
        <w:t>On April 9, 2003, we agreed with Riverview to reduce the conversion price to $0.80 per share for its 3% Cumulative Convertible Preferred Stock for a period of 20 trading days. Riverview agreed that it would immediately convert half of its remaining holding 2,000 shares with a face value of $2 million, at the reduced price. As a result of the change in the conversion price, we recorded a deemed dividend to preferred shareholders of approximately $1,000,000 in the second quarter of 2003. For the three months ended June 30, 2003 and 2002, we recorded deemed dividends of $1,168,000 and $320,000 respectively. The deemed dividends are related to the 3% Cumulative Convertible Preferred Stock which includes the accretion of common stock warrants, the beneficial conversion feature and the related issuance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2003 and 2002</w:t>
      </w:r>
    </w:p>
    <w:p>
      <w:pPr>
        <w:spacing w:after="0" w:line="231"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For the six months ended June 30, 2003, revenue from grants and licensing agreements totaled approximately $119,000, which includes $112,000 that is a part of the grant awarded by the National Institute of Diabetes &amp; Digestive &amp; Kidney Disorders of the National Institutes of Health, and $7,000 in licensing revenue. For the six months ended June 30, 2002, revenue from grants and licensing agreements totaled approximately $237,000, which includes $88,000 that is a part of the grant awarded by the National Institutes of Health’s Small Business Innovation Research (SBIR) office, now concluded, $112,000 that is a part of the grant awarded by the National Institute of Diabetes &amp; Digestive &amp; Kidney Disorders of the National Institutes of Health and $37,000 in licensing revenue.</w:t>
      </w:r>
    </w:p>
    <w:p>
      <w:pPr>
        <w:spacing w:after="0" w:line="170"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Research and development expenses totaled $3,080,000 for the six months ended June 30, 2003, compared with $3,652,000 for the same period in 2002. The decrease of $572,000 or approximately 16% from 2002 to 2003 was primarily attributable to the effect of a reduction in rent expense allocated to research and development in 2002 as a result of an amendment to the lease on our current facilities in California. The decrease was also partly attributable to the effect of a cost reduction program initiated in September 2002. The decrease in expenses was partially offset by the effect of a higher valuation of non-qualified stock options on compensation cost for the six months ended June 30, 2003 as compared to the same period in 2002 and by the forgiveness of a housing loan in accordance with its terms, that had been made to a non-officer employee.</w:t>
      </w:r>
    </w:p>
    <w:p>
      <w:pPr>
        <w:spacing w:after="0" w:line="174"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General and administrative expenses were $2,072,000 for the six months ended June 30, 2003, compared with $2,391,000 for the same period in 2002. The decrease of $319,000 or 13%, from 2002 to 2003 was primarily attributable to the effect of the cost reduction program initiated in September 2002. The decrease was also partly attributable to a reduction in rent expense allocated to general and administrative as a result of an amendment to the lease on our current facilities in California. Included in general and administrative expenses are operating expenses net of subtenant income related to maintaining our facilities in Rhode Island. Even though it is our intent to dispose of these facilities at the earliest possible time, we cannot determine with certainty a fixed date by which such disposal will occur.</w:t>
      </w:r>
    </w:p>
    <w:p>
      <w:pPr>
        <w:spacing w:after="0" w:line="198" w:lineRule="exact"/>
        <w:rPr>
          <w:sz w:val="20"/>
          <w:szCs w:val="20"/>
          <w:color w:val="auto"/>
        </w:rPr>
      </w:pPr>
    </w:p>
    <w:p>
      <w:pPr>
        <w:ind w:right="20" w:firstLine="439"/>
        <w:spacing w:after="0" w:line="306" w:lineRule="auto"/>
        <w:rPr>
          <w:sz w:val="20"/>
          <w:szCs w:val="20"/>
          <w:color w:val="auto"/>
        </w:rPr>
      </w:pPr>
      <w:r>
        <w:rPr>
          <w:rFonts w:ascii="Arial" w:cs="Arial" w:eastAsia="Arial" w:hAnsi="Arial"/>
          <w:sz w:val="16"/>
          <w:szCs w:val="16"/>
          <w:color w:val="auto"/>
        </w:rPr>
        <w:t>Interest income for the six months ended June 30, 2003 and 2002 was $11,000 and $60,000 respectively. The decrease in interest income in 2003 was attributable to lower average investment balance. Interest expense for the six months ended June 30, 2003 and 2002 was $107,000 and $118,000 respectively. The decrease in interest expense in 2003 was attributable to lower outstanding debt and capital lease balances in 2003 compared to 2002.</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39"/>
        <w:spacing w:after="0" w:line="254" w:lineRule="auto"/>
        <w:rPr>
          <w:sz w:val="20"/>
          <w:szCs w:val="20"/>
          <w:color w:val="auto"/>
        </w:rPr>
      </w:pPr>
      <w:r>
        <w:rPr>
          <w:rFonts w:ascii="Arial" w:cs="Arial" w:eastAsia="Arial" w:hAnsi="Arial"/>
          <w:sz w:val="18"/>
          <w:szCs w:val="18"/>
          <w:color w:val="auto"/>
        </w:rPr>
        <w:t>On April 9, 2003, we agreed with Riverview to reduce the conversion price to $0.80 per share for its 3% Cumulative Convertible Preferred Stock for a period of 20 trading days. Riverview agreed that it would immediately convert half of its remaining holding 2,000 shares with a face value of $2 million, at the reduced price. As a result of the change in the conversion price, we recorded a deemed dividend to preferred shareholders of approximately $1,000,000 in the second quarter of 2003. For the six months ended June 30, 2003 and 2002, we recorded a deemed dividend of $1,488,000 and $640,000 respectively, related to the 3% Cumulative Convertible Preferred Stock which includes the accretion of common stock warrants, the beneficial conversion feature and the related issuance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6" w:lineRule="exact"/>
        <w:rPr>
          <w:sz w:val="20"/>
          <w:szCs w:val="20"/>
          <w:color w:val="auto"/>
        </w:rPr>
      </w:pPr>
    </w:p>
    <w:p>
      <w:pPr>
        <w:ind w:right="20" w:firstLine="436"/>
        <w:spacing w:after="0" w:line="306" w:lineRule="auto"/>
        <w:rPr>
          <w:sz w:val="20"/>
          <w:szCs w:val="20"/>
          <w:color w:val="auto"/>
        </w:rPr>
      </w:pPr>
      <w:r>
        <w:rPr>
          <w:rFonts w:ascii="Arial" w:cs="Arial" w:eastAsia="Arial" w:hAnsi="Arial"/>
          <w:sz w:val="16"/>
          <w:szCs w:val="16"/>
          <w:color w:val="auto"/>
        </w:rPr>
        <w:t>We had cash and cash equivalents totaling $6,534,000 at June 30, 2003. Cash equivalents are invested in US Treasuries with maturities of less than 90 days. We used $4,315,000 and $5,607,000 of cash for the six months ended June 30, 2003 and 2002 respectively, in our operating activities. The decrease in cash used in 2003 in comparison to the same period in 2002 was a result of the effect of a cost reduction program initiated in September 2002.</w:t>
      </w:r>
    </w:p>
    <w:p>
      <w:pPr>
        <w:spacing w:after="0" w:line="161" w:lineRule="exact"/>
        <w:rPr>
          <w:sz w:val="20"/>
          <w:szCs w:val="20"/>
          <w:color w:val="auto"/>
        </w:rPr>
      </w:pPr>
    </w:p>
    <w:p>
      <w:pPr>
        <w:ind w:right="140" w:firstLine="439"/>
        <w:spacing w:after="0" w:line="289" w:lineRule="auto"/>
        <w:rPr>
          <w:sz w:val="20"/>
          <w:szCs w:val="20"/>
          <w:color w:val="auto"/>
        </w:rPr>
      </w:pPr>
      <w:r>
        <w:rPr>
          <w:rFonts w:ascii="Arial" w:cs="Arial" w:eastAsia="Arial" w:hAnsi="Arial"/>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 down and the amount of each draw down. The restrictions include functions of the trading volume and average price of the shares during periods prior to the draw down. As a result of these and other restrictions, this facility cannot be used to provide significant funding for the Company unless and until the underlying market conditions for our stock improve. We drew down $4,000,000, $118,000 and $441,000 before applicable fees in 2001, 2002 and the six-month period ended June 30, 2003 respectively. The equity line terminates in December 2003.</w:t>
      </w:r>
    </w:p>
    <w:p>
      <w:pPr>
        <w:spacing w:after="0" w:line="172" w:lineRule="exact"/>
        <w:rPr>
          <w:sz w:val="20"/>
          <w:szCs w:val="20"/>
          <w:color w:val="auto"/>
        </w:rPr>
      </w:pPr>
    </w:p>
    <w:p>
      <w:pPr>
        <w:ind w:firstLine="439"/>
        <w:spacing w:after="0" w:line="288" w:lineRule="auto"/>
        <w:rPr>
          <w:sz w:val="20"/>
          <w:szCs w:val="20"/>
          <w:color w:val="auto"/>
        </w:rPr>
      </w:pPr>
      <w:r>
        <w:rPr>
          <w:rFonts w:ascii="Arial" w:cs="Arial" w:eastAsia="Arial" w:hAnsi="Arial"/>
          <w:sz w:val="16"/>
          <w:szCs w:val="16"/>
          <w:color w:val="auto"/>
        </w:rPr>
        <w:t>On December 4, 2001, we issued 5,000 shares of 3% Cumulative Convertible Preferred Stock to The Riverview Group, LLC, (“Riverview”), a wholly owned subsidiary of Millennium Partners. We received total proceeds of $4,727,515 net of applicable fees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On April 9, 2003, we agreed with Riverview to reduce the conversion price to $0.80 per share for 20 Trading Days. Riverview agreed that it would immediately convert half of its holding, 2,000 shares, with a face value of $2 million, at the reduced price. Riverview received 2,521,042 shares of common stock upon conversion, including accrued and unpaid dividends. This transaction relieves us of the obligation to redeem the converted shares for cash at their face value on December 4, 2003. As of June 30, 2003, 2,000 shares of the 3% Cumulative Convertible Preferred Stock issued to Riverview are still outstanding.</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a Stock Purchase Agreement dated May 7, 2003, on May 15, 2003, we issued 4 million shares of our common stock to Riverview for</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agreed to register the resale of the purchased shares and the shares to be issued on exercise of the warrants. As a result of this transaction, we expect our capital resources to be sufficient to fund our operations into 2004.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36"/>
        <w:spacing w:after="0" w:line="256"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$1,000,000 for 2003, net of subtenant income of $776,000.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contractual cash obligations (excluding interest and sub-lease income):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2008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w w:val="96"/>
              </w:rPr>
              <w:t>Capital lease payments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3,367,036</w:t>
            </w:r>
          </w:p>
        </w:tc>
        <w:tc>
          <w:tcPr>
            <w:tcW w:w="2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217,160</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425,713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412,587</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2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330,643</w:t>
            </w:r>
          </w:p>
        </w:tc>
        <w:tc>
          <w:tcPr>
            <w:tcW w:w="26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$1,579,644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Operating lease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16,043,846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1,444,398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2,947,335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3,007,630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1,115,186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6,591,797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rPr>
              <w:t>Mandatorily</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redeemable, 3%</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convertible preferred</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2,000,000</w:t>
            </w: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2,000,000</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cash</w:t>
            </w: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21,410,882</w:t>
            </w:r>
          </w:p>
        </w:tc>
        <w:tc>
          <w:tcPr>
            <w:tcW w:w="2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3,661,558</w:t>
            </w:r>
          </w:p>
        </w:tc>
        <w:tc>
          <w:tcPr>
            <w:tcW w:w="2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3,373,048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3,420,217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1,516,475</w:t>
            </w:r>
          </w:p>
        </w:tc>
        <w:tc>
          <w:tcPr>
            <w:tcW w:w="2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1,268,143</w:t>
            </w:r>
          </w:p>
        </w:tc>
        <w:tc>
          <w:tcPr>
            <w:tcW w:w="26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$8,171,441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several quarters,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Unless we obtain additional capital to sustain us on a longer-term basis, these conditions may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81"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We currently expect our capital resources to be sufficient to fund our operations into 2004. Lack of necessary funds may require us to delay, scale back or eliminate some or all of our research and product development programs and/or our capital expenditures or to license our potential products or technologies to third parties.</w:t>
      </w:r>
    </w:p>
    <w:p>
      <w:pPr>
        <w:spacing w:after="0" w:line="198" w:lineRule="exact"/>
        <w:rPr>
          <w:sz w:val="20"/>
          <w:szCs w:val="20"/>
          <w:color w:val="auto"/>
        </w:rPr>
      </w:pPr>
    </w:p>
    <w:p>
      <w:pPr>
        <w:ind w:right="340" w:firstLine="436"/>
        <w:spacing w:after="0" w:line="332" w:lineRule="auto"/>
        <w:rPr>
          <w:sz w:val="20"/>
          <w:szCs w:val="20"/>
          <w:color w:val="auto"/>
        </w:rPr>
      </w:pPr>
      <w:r>
        <w:rPr>
          <w:rFonts w:ascii="Arial" w:cs="Arial" w:eastAsia="Arial" w:hAnsi="Arial"/>
          <w:sz w:val="16"/>
          <w:szCs w:val="16"/>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Issues</w:t>
      </w:r>
    </w:p>
    <w:p>
      <w:pPr>
        <w:spacing w:after="0" w:line="231"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The Nasdaq Stock Market, Inc. (Nasdaq) may delist our common stock from The Nasdaq SmallCap Market (the SmallCap Market) if we fail to meet their continued listing requirements. The delisting of our common stock from the SmallCap Market (should we fail to meet its continued listing requirements) could adversely affect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market price and market liquidity of our common stock. If we were delisted from the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67"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On April 22, 2003 we were notified by Nasdaq that our stock had closed below the minimum bid price of $1.00 for 30 consecutive trading days. In accordance with Nasdaq rules, we were granted an additional 180 calendar days, during which we would regain compliance if the closing bid price of our common stock was $1.00 or more per share for a minimum of 10 consecutive trading days. On May 2, 2003 our closing bid price was above the $1.00 required minimum and on May 16, 2003, we were notified by Nasdaq that we had regained compliance with their continued listing requirements.</w:t>
      </w:r>
    </w:p>
    <w:p>
      <w:pPr>
        <w:spacing w:after="0" w:line="167"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If we are delisted from, or trading in our stock is suspended on, the SmallCap Market or other exchange or principal market for our Common Stock, under certain circumstances we would then be in breach of certain registration rights agreements that we entered into with certain investors and may be required to pay liquidated or other damages to those investors. Under these circumstances, we also would not be able to draw down on our equity line of credit.</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right="40" w:firstLine="439"/>
        <w:spacing w:after="0" w:line="310" w:lineRule="auto"/>
        <w:rPr>
          <w:sz w:val="20"/>
          <w:szCs w:val="20"/>
          <w:color w:val="auto"/>
        </w:rPr>
      </w:pPr>
      <w:r>
        <w:rPr>
          <w:rFonts w:ascii="Arial" w:cs="Arial" w:eastAsia="Arial" w:hAnsi="Arial"/>
          <w:sz w:val="15"/>
          <w:szCs w:val="15"/>
          <w:color w:val="auto"/>
        </w:rPr>
        <w:t>In response to the requirement of the Sarbanes-Oxley Act of 2002, as of the end of the period covered by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During the most recent quarter, there were no changes in internal controls over financial reporting that occurred during the period covered by this report that have materially affected, or are reasonably likely to materially affect, these controls of the Company, and no corrective actions were required or undertaken.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jc w:val="center"/>
        <w:ind w:right="101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AND USE OF PROCEEDS</w:t>
      </w:r>
    </w:p>
    <w:p>
      <w:pPr>
        <w:spacing w:after="0" w:line="225"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On May 15, 2003, we issued 4 million shares of our common stock to The Riverview Group, LLC, (“Riverview”) at a price per share of $1.625. We also issued to Riverview a warrant to purchase 1,898,000 shares of our common stock at an exercise price of $1.50 per share. This transaction was exempt from registration under the Securities Act of 1933 pursuant to Regulation D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225" w:lineRule="exact"/>
        <w:rPr>
          <w:sz w:val="20"/>
          <w:szCs w:val="20"/>
          <w:color w:val="auto"/>
        </w:rPr>
      </w:pPr>
    </w:p>
    <w:p>
      <w:pPr>
        <w:ind w:right="220" w:firstLine="439"/>
        <w:spacing w:after="0" w:line="298" w:lineRule="auto"/>
        <w:rPr>
          <w:sz w:val="20"/>
          <w:szCs w:val="20"/>
          <w:color w:val="auto"/>
        </w:rPr>
      </w:pPr>
      <w:r>
        <w:rPr>
          <w:rFonts w:ascii="Arial" w:cs="Arial" w:eastAsia="Arial" w:hAnsi="Arial"/>
          <w:sz w:val="16"/>
          <w:szCs w:val="16"/>
          <w:color w:val="auto"/>
        </w:rPr>
        <w:t>On May 29, 2003, we held our Annual Meeting of Shareholders. Martin McGlynn, President and CEO of StemCells, and Roger Perlmutter, M.D., Ph.D., were re-elected to the Board as Class III directors, with terms expiring in 2006. The remaining members of the Board, whose terms continued after the Annual Meeting, are Ricardo Levy, Ph.D., John Schwartz, Ph.D., and Irving Weissman, M.D. The shareholders also ratified the selection of Ernst &amp; Young LLP as StemCells’ independent auditors for the fiscal year ending December 31,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votes on these matters were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ind w:right="192"/>
              <w:spacing w:after="0"/>
              <w:rPr>
                <w:sz w:val="20"/>
                <w:szCs w:val="20"/>
                <w:color w:val="auto"/>
              </w:rPr>
            </w:pPr>
            <w:r>
              <w:rPr>
                <w:rFonts w:ascii="Arial" w:cs="Arial" w:eastAsia="Arial" w:hAnsi="Arial"/>
                <w:sz w:val="14"/>
                <w:szCs w:val="14"/>
                <w:b w:val="1"/>
                <w:bCs w:val="1"/>
                <w:color w:val="auto"/>
              </w:rPr>
              <w:t>Authority</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4"/>
        </w:trPr>
        <w:tc>
          <w:tcPr>
            <w:tcW w:w="4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500" w:type="dxa"/>
            <w:vAlign w:val="bottom"/>
          </w:tcPr>
          <w:p>
            <w:pPr>
              <w:spacing w:after="0"/>
              <w:rPr>
                <w:sz w:val="15"/>
                <w:szCs w:val="15"/>
                <w:color w:val="auto"/>
              </w:rPr>
            </w:pPr>
          </w:p>
        </w:tc>
        <w:tc>
          <w:tcPr>
            <w:tcW w:w="1100" w:type="dxa"/>
            <w:vAlign w:val="bottom"/>
          </w:tcPr>
          <w:p>
            <w:pPr>
              <w:jc w:val="right"/>
              <w:ind w:right="212"/>
              <w:spacing w:after="0"/>
              <w:rPr>
                <w:sz w:val="20"/>
                <w:szCs w:val="20"/>
                <w:color w:val="auto"/>
              </w:rPr>
            </w:pPr>
            <w:r>
              <w:rPr>
                <w:rFonts w:ascii="Arial" w:cs="Arial" w:eastAsia="Arial" w:hAnsi="Arial"/>
                <w:sz w:val="14"/>
                <w:szCs w:val="14"/>
                <w:b w:val="1"/>
                <w:bCs w:val="1"/>
                <w:color w:val="auto"/>
              </w:rPr>
              <w:t>Withheld</w:t>
            </w:r>
          </w:p>
        </w:tc>
        <w:tc>
          <w:tcPr>
            <w:tcW w:w="50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Against</w:t>
            </w:r>
          </w:p>
        </w:tc>
        <w:tc>
          <w:tcPr>
            <w:tcW w:w="52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w w:val="85"/>
              </w:rPr>
              <w:t>Abstain</w:t>
            </w:r>
          </w:p>
        </w:tc>
      </w:tr>
      <w:tr>
        <w:trPr>
          <w:trHeight w:val="95"/>
        </w:trPr>
        <w:tc>
          <w:tcPr>
            <w:tcW w:w="4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309"/>
        </w:trPr>
        <w:tc>
          <w:tcPr>
            <w:tcW w:w="4780" w:type="dxa"/>
            <w:vAlign w:val="bottom"/>
          </w:tcPr>
          <w:p>
            <w:pPr>
              <w:spacing w:after="0"/>
              <w:rPr>
                <w:sz w:val="20"/>
                <w:szCs w:val="20"/>
                <w:color w:val="auto"/>
              </w:rPr>
            </w:pPr>
            <w:r>
              <w:rPr>
                <w:rFonts w:ascii="Arial" w:cs="Arial" w:eastAsia="Arial" w:hAnsi="Arial"/>
                <w:sz w:val="18"/>
                <w:szCs w:val="18"/>
                <w:color w:val="auto"/>
              </w:rPr>
              <w:t>Election of Martin McGlynn as director</w:t>
            </w:r>
          </w:p>
        </w:tc>
        <w:tc>
          <w:tcPr>
            <w:tcW w:w="2860" w:type="dxa"/>
            <w:vAlign w:val="bottom"/>
            <w:gridSpan w:val="2"/>
          </w:tcPr>
          <w:p>
            <w:pPr>
              <w:jc w:val="center"/>
              <w:ind w:left="972"/>
              <w:spacing w:after="0"/>
              <w:rPr>
                <w:sz w:val="20"/>
                <w:szCs w:val="20"/>
                <w:color w:val="auto"/>
              </w:rPr>
            </w:pPr>
            <w:r>
              <w:rPr>
                <w:rFonts w:ascii="Arial" w:cs="Arial" w:eastAsia="Arial" w:hAnsi="Arial"/>
                <w:sz w:val="18"/>
                <w:szCs w:val="18"/>
                <w:color w:val="auto"/>
                <w:w w:val="88"/>
              </w:rPr>
              <w:t>22,778,472</w:t>
            </w:r>
          </w:p>
        </w:tc>
        <w:tc>
          <w:tcPr>
            <w:tcW w:w="1600" w:type="dxa"/>
            <w:vAlign w:val="bottom"/>
            <w:gridSpan w:val="2"/>
          </w:tcPr>
          <w:p>
            <w:pPr>
              <w:jc w:val="right"/>
              <w:ind w:right="152"/>
              <w:spacing w:after="0"/>
              <w:rPr>
                <w:sz w:val="20"/>
                <w:szCs w:val="20"/>
                <w:color w:val="auto"/>
              </w:rPr>
            </w:pPr>
            <w:r>
              <w:rPr>
                <w:rFonts w:ascii="Arial" w:cs="Arial" w:eastAsia="Arial" w:hAnsi="Arial"/>
                <w:sz w:val="18"/>
                <w:szCs w:val="18"/>
                <w:color w:val="auto"/>
              </w:rPr>
              <w:t>336,296</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Election of Roger Perlmutter, M.D., Ph.D. as director</w:t>
            </w:r>
          </w:p>
        </w:tc>
        <w:tc>
          <w:tcPr>
            <w:tcW w:w="2860" w:type="dxa"/>
            <w:vAlign w:val="bottom"/>
            <w:gridSpan w:val="2"/>
          </w:tcPr>
          <w:p>
            <w:pPr>
              <w:jc w:val="center"/>
              <w:ind w:left="972"/>
              <w:spacing w:after="0"/>
              <w:rPr>
                <w:sz w:val="20"/>
                <w:szCs w:val="20"/>
                <w:color w:val="auto"/>
              </w:rPr>
            </w:pPr>
            <w:r>
              <w:rPr>
                <w:rFonts w:ascii="Arial" w:cs="Arial" w:eastAsia="Arial" w:hAnsi="Arial"/>
                <w:sz w:val="18"/>
                <w:szCs w:val="18"/>
                <w:color w:val="auto"/>
                <w:w w:val="88"/>
              </w:rPr>
              <w:t>22,881,395</w:t>
            </w:r>
          </w:p>
        </w:tc>
        <w:tc>
          <w:tcPr>
            <w:tcW w:w="1600" w:type="dxa"/>
            <w:vAlign w:val="bottom"/>
            <w:gridSpan w:val="2"/>
          </w:tcPr>
          <w:p>
            <w:pPr>
              <w:jc w:val="right"/>
              <w:ind w:right="152"/>
              <w:spacing w:after="0"/>
              <w:rPr>
                <w:sz w:val="20"/>
                <w:szCs w:val="20"/>
                <w:color w:val="auto"/>
              </w:rPr>
            </w:pPr>
            <w:r>
              <w:rPr>
                <w:rFonts w:ascii="Arial" w:cs="Arial" w:eastAsia="Arial" w:hAnsi="Arial"/>
                <w:sz w:val="18"/>
                <w:szCs w:val="18"/>
                <w:color w:val="auto"/>
              </w:rPr>
              <w:t>233,373</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Ratification of Ernst &amp; Young LLP as auditors for 2003</w:t>
            </w:r>
          </w:p>
        </w:tc>
        <w:tc>
          <w:tcPr>
            <w:tcW w:w="2860" w:type="dxa"/>
            <w:vAlign w:val="bottom"/>
            <w:gridSpan w:val="2"/>
          </w:tcPr>
          <w:p>
            <w:pPr>
              <w:jc w:val="center"/>
              <w:ind w:left="972"/>
              <w:spacing w:after="0"/>
              <w:rPr>
                <w:sz w:val="20"/>
                <w:szCs w:val="20"/>
                <w:color w:val="auto"/>
              </w:rPr>
            </w:pPr>
            <w:r>
              <w:rPr>
                <w:rFonts w:ascii="Arial" w:cs="Arial" w:eastAsia="Arial" w:hAnsi="Arial"/>
                <w:sz w:val="18"/>
                <w:szCs w:val="18"/>
                <w:color w:val="auto"/>
                <w:w w:val="88"/>
              </w:rPr>
              <w:t>22,607,958</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459,242</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w w:val="83"/>
              </w:rPr>
              <w:t>48,208</w:t>
            </w:r>
          </w:p>
        </w:tc>
      </w:tr>
      <w:tr>
        <w:trPr>
          <w:trHeight w:val="432"/>
        </w:trPr>
        <w:tc>
          <w:tcPr>
            <w:tcW w:w="4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47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225" w:lineRule="exact"/>
        <w:rPr>
          <w:sz w:val="20"/>
          <w:szCs w:val="20"/>
          <w:color w:val="auto"/>
        </w:rPr>
      </w:pPr>
    </w:p>
    <w:p>
      <w:pPr>
        <w:jc w:val="center"/>
        <w:ind w:right="100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31.1 - </w:t>
      </w:r>
      <w:r>
        <w:rPr>
          <w:rFonts w:ascii="Arial" w:cs="Arial" w:eastAsia="Arial" w:hAnsi="Arial"/>
          <w:sz w:val="18"/>
          <w:szCs w:val="18"/>
          <w:color w:val="auto"/>
        </w:rPr>
        <w:t>Certification of Martin McGlynn under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31.2 - </w:t>
      </w:r>
      <w:r>
        <w:rPr>
          <w:rFonts w:ascii="Arial" w:cs="Arial" w:eastAsia="Arial" w:hAnsi="Arial"/>
          <w:sz w:val="18"/>
          <w:szCs w:val="18"/>
          <w:color w:val="auto"/>
        </w:rPr>
        <w:t>Certification of George Koshy under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32.1 - </w:t>
      </w:r>
      <w:r>
        <w:rPr>
          <w:rFonts w:ascii="Arial" w:cs="Arial" w:eastAsia="Arial" w:hAnsi="Arial"/>
          <w:sz w:val="16"/>
          <w:szCs w:val="16"/>
          <w:color w:val="auto"/>
        </w:rPr>
        <w:t>Certification of Martin McGlynn Pursuant to 18 U.S.C. Section 1350, As Adopted Pursuant to Section 906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George Koshy Pursuant to 18 U.S.C. Section 1350, As Adopted Pursuant to Section 906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 REPORTS ON FORM 8-K</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Forms 8-K were filed with or furnished to the Commission:</w:t>
      </w:r>
    </w:p>
    <w:p>
      <w:pPr>
        <w:spacing w:after="0" w:line="225"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On April 15, 2003, the Company filed a Current Report on Form 8-K disclosing that it had agreed with The Riverview Group, LLC, (“Riverview”), which held $4 million in 3% Convertible Preferred stock in the Company, to reduce the conversion price to $0.80 per share for a short period of time. Riverview agreed that it would immediately convert half of its holding, 2,000 shares with a face value of $2 million, at the reduced price.</w:t>
      </w:r>
    </w:p>
    <w:p>
      <w:pPr>
        <w:spacing w:after="0" w:line="161"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On May 13, 2003, the Company filed a Current Report on Form 8-K disclosing that it had entered into an agreement to issue 4 million shares of common stock plus a warrant to purchase 1,898,000 shares of common stock to Riverview for total consideration of $6.5 million.</w:t>
      </w:r>
    </w:p>
    <w:p>
      <w:pPr>
        <w:spacing w:after="0" w:line="186"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On May 15, 2003, the Company filed a Current Report on Form 8-K disclosing that pursuant to the agreement reported on May 13, 2003, the Company issued 4,000,000 shares of common stock and warrants to purchase 1,898,000 shares of common stock to Riverview in exchange for total consideration of $6.5 million.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8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71120</wp:posOffset>
            </wp:positionV>
            <wp:extent cx="2444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5"/>
          <w:szCs w:val="15"/>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71120</wp:posOffset>
            </wp:positionV>
            <wp:extent cx="2444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Controller and Acting Chief Financial</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Officer (Duly authorized officer and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19" w:right="7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right="3860"/>
        <w:spacing w:after="0" w:line="563"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George Koshy under Section 302 of the Sarbanes-Oxley Act of 2002</w:t>
      </w:r>
    </w:p>
    <w:p>
      <w:pPr>
        <w:spacing w:after="0" w:line="1" w:lineRule="exact"/>
        <w:rPr>
          <w:sz w:val="20"/>
          <w:szCs w:val="20"/>
          <w:color w:val="auto"/>
        </w:rPr>
      </w:pPr>
    </w:p>
    <w:p>
      <w:pPr>
        <w:spacing w:after="0" w:line="567" w:lineRule="auto"/>
        <w:rPr>
          <w:sz w:val="20"/>
          <w:szCs w:val="20"/>
          <w:color w:val="auto"/>
        </w:rPr>
      </w:pPr>
      <w:r>
        <w:rPr>
          <w:rFonts w:ascii="Arial" w:cs="Arial" w:eastAsia="Arial" w:hAnsi="Arial"/>
          <w:sz w:val="16"/>
          <w:szCs w:val="16"/>
          <w:b w:val="1"/>
          <w:bCs w:val="1"/>
          <w:color w:val="auto"/>
        </w:rPr>
        <w:t xml:space="preserve">Exhibit 32.1 - </w:t>
      </w:r>
      <w:r>
        <w:rPr>
          <w:rFonts w:ascii="Arial" w:cs="Arial" w:eastAsia="Arial" w:hAnsi="Arial"/>
          <w:sz w:val="16"/>
          <w:szCs w:val="16"/>
          <w:color w:val="auto"/>
        </w:rPr>
        <w:t>Certification of Martin McGlynn Pursuant to 18 U.S.C. Section 1350, As Adopted Pursuant to Section 906 of the Sarbanes-Oxley Act of 2002</w:t>
      </w:r>
      <w:r>
        <w:rPr>
          <w:rFonts w:ascii="Arial" w:cs="Arial" w:eastAsia="Arial" w:hAnsi="Arial"/>
          <w:sz w:val="16"/>
          <w:szCs w:val="16"/>
          <w:b w:val="1"/>
          <w:bCs w:val="1"/>
          <w:color w:val="auto"/>
        </w:rPr>
        <w:t xml:space="preserve"> Exhibit 32.2 - </w:t>
      </w:r>
      <w:r>
        <w:rPr>
          <w:rFonts w:ascii="Arial" w:cs="Arial" w:eastAsia="Arial" w:hAnsi="Arial"/>
          <w:sz w:val="16"/>
          <w:szCs w:val="16"/>
          <w:color w:val="auto"/>
        </w:rPr>
        <w:t>Certification of George Koshy Pursuant to 18 U.S.C. Section 1350, As Adopted Pursuant to Section 906 of the Sarbanes-Oxley Act of 2002</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240" w:top="419" w:right="5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under Section 302 of the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225" w:lineRule="exact"/>
        <w:rPr>
          <w:sz w:val="20"/>
          <w:szCs w:val="20"/>
          <w:color w:val="auto"/>
        </w:rPr>
      </w:pPr>
    </w:p>
    <w:p>
      <w:pPr>
        <w:ind w:left="880" w:hanging="54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jc w:val="both"/>
        <w:ind w:left="880" w:right="320" w:hanging="548"/>
        <w:spacing w:after="0" w:line="259"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80" w:right="280" w:hanging="548"/>
        <w:spacing w:after="0" w:line="332"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880" w:right="320" w:hanging="548"/>
        <w:spacing w:after="0" w:line="268" w:lineRule="auto"/>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1160" w:right="60" w:hanging="4"/>
        <w:spacing w:after="0" w:line="259" w:lineRule="auto"/>
        <w:tabs>
          <w:tab w:leader="none" w:pos="1399"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1160" w:right="540" w:hanging="4"/>
        <w:spacing w:after="0" w:line="370" w:lineRule="auto"/>
        <w:tabs>
          <w:tab w:leader="none" w:pos="1409" w:val="left"/>
        </w:tabs>
        <w:numPr>
          <w:ilvl w:val="1"/>
          <w:numId w:val="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1160" w:right="20" w:hanging="4"/>
        <w:spacing w:after="0" w:line="259" w:lineRule="auto"/>
        <w:tabs>
          <w:tab w:leader="none" w:pos="1399"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880" w:right="20" w:hanging="548"/>
        <w:spacing w:after="0" w:line="332"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60" w:right="780" w:hanging="4"/>
        <w:spacing w:after="0" w:line="332" w:lineRule="auto"/>
        <w:tabs>
          <w:tab w:leader="none" w:pos="1389"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60" w:right="460" w:hanging="4"/>
        <w:spacing w:after="0" w:line="268" w:lineRule="auto"/>
        <w:tabs>
          <w:tab w:leader="none" w:pos="1399"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4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under Section 302 of the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George Koshy, certify that:</w:t>
      </w:r>
    </w:p>
    <w:p>
      <w:pPr>
        <w:spacing w:after="0" w:line="225" w:lineRule="exact"/>
        <w:rPr>
          <w:sz w:val="20"/>
          <w:szCs w:val="20"/>
          <w:color w:val="auto"/>
        </w:rPr>
      </w:pPr>
    </w:p>
    <w:p>
      <w:pPr>
        <w:ind w:left="880" w:hanging="548"/>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jc w:val="both"/>
        <w:ind w:left="880" w:right="320" w:hanging="548"/>
        <w:spacing w:after="0" w:line="25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880" w:right="280" w:hanging="548"/>
        <w:spacing w:after="0" w:line="332"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880" w:right="320" w:hanging="548"/>
        <w:spacing w:after="0" w:line="268"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1160" w:right="60" w:hanging="4"/>
        <w:spacing w:after="0" w:line="259" w:lineRule="auto"/>
        <w:tabs>
          <w:tab w:leader="none" w:pos="1399"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1160" w:right="540" w:hanging="4"/>
        <w:spacing w:after="0" w:line="370" w:lineRule="auto"/>
        <w:tabs>
          <w:tab w:leader="none" w:pos="1409" w:val="left"/>
        </w:tabs>
        <w:numPr>
          <w:ilvl w:val="1"/>
          <w:numId w:val="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5"/>
          <w:szCs w:val="15"/>
          <w:color w:val="auto"/>
        </w:rPr>
      </w:pPr>
    </w:p>
    <w:p>
      <w:pPr>
        <w:jc w:val="both"/>
        <w:ind w:left="1160" w:right="20" w:hanging="4"/>
        <w:spacing w:after="0" w:line="259" w:lineRule="auto"/>
        <w:tabs>
          <w:tab w:leader="none" w:pos="1399"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880" w:right="20" w:hanging="548"/>
        <w:spacing w:after="0" w:line="332"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160" w:right="780" w:hanging="4"/>
        <w:spacing w:after="0" w:line="332" w:lineRule="auto"/>
        <w:tabs>
          <w:tab w:leader="none" w:pos="1389"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160" w:right="460" w:hanging="4"/>
        <w:spacing w:after="0" w:line="268" w:lineRule="auto"/>
        <w:tabs>
          <w:tab w:leader="none" w:pos="1399"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George Koshy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Controller and Acting Chief Financial Officer</w:t>
      </w:r>
    </w:p>
    <w:p>
      <w:pPr>
        <w:sectPr>
          <w:pgSz w:w="11900" w:h="16838" w:orient="portrait"/>
          <w:cols w:equalWidth="0" w:num="1">
            <w:col w:w="11420"/>
          </w:cols>
          <w:pgMar w:left="240" w:top="94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Oxley Act of 2002</w:t>
      </w:r>
    </w:p>
    <w:p>
      <w:pPr>
        <w:spacing w:after="0" w:line="21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StemCells, Inc. (the “Company”) Quarterly on Form 10-Q for the period ending June 30, 2003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161"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as amended; and</w:t>
      </w:r>
    </w:p>
    <w:p>
      <w:pPr>
        <w:spacing w:after="0" w:line="225" w:lineRule="exact"/>
        <w:rPr>
          <w:sz w:val="20"/>
          <w:szCs w:val="20"/>
          <w:color w:val="auto"/>
        </w:rPr>
      </w:pPr>
    </w:p>
    <w:p>
      <w:pPr>
        <w:jc w:val="center"/>
        <w:ind w:right="-39"/>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4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Oxley Act of 2002</w:t>
      </w:r>
    </w:p>
    <w:p>
      <w:pPr>
        <w:spacing w:after="0" w:line="21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StemCells, Inc. (the “Company”) Quarterly on Form 10-Q for the period ending June 30, 2003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161"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as amended; and</w:t>
      </w:r>
    </w:p>
    <w:p>
      <w:pPr>
        <w:spacing w:after="0" w:line="225" w:lineRule="exact"/>
        <w:rPr>
          <w:sz w:val="20"/>
          <w:szCs w:val="20"/>
          <w:color w:val="auto"/>
        </w:rPr>
      </w:pPr>
    </w:p>
    <w:p>
      <w:pPr>
        <w:jc w:val="center"/>
        <w:ind w:right="-39"/>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George Koshy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Controller and Acting Chief Financial Officer</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2019-12-13T21:52:22Z</dcterms:created>
  <dcterms:modified xsi:type="dcterms:W3CDTF">2019-12-13T21:52:22Z</dcterms:modified>
</cp:coreProperties>
</file>