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30,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30, 2019, Microbot Medical Inc. (the “Company”) entered into a Securities Purchase Agreement (the “Purchase Agreement”) with certain accredited institutional investors (the “Purchasers”) providing for the issuance and sale by the Company to the Purchasers of an aggregate of 900,901 shares (the “Shares”) of the Company’s common stock, par value $0.01 per share (the “Common Stock”), at a purchase price per share of $11.10 (the “Offering”). The gross proceeds to the Company will be approximately $10 million. The closing of the Offering is expected to occur on or about December 31, 2019.</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net proceeds of the Offering to the Company are estimated to be approximately $8.99 million, after deducting placement agent fees and other estimated offering expenses. The Company intends to use the net proceeds from this Offering for the continuous development and regulatory activities for its SCS device for the treatment of hydrocephalus and NPH; continue the development of its LIBERTY robotic system, including its expansion through addition of complementary assets to it either through internal development, in-license or acquisitions; expand and develop additional applications deriving from its existing IP portfolio, either through internal development, in-license or acquisition; and for working capital and other general corporate purposes.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disclosed, on December 24, 2019, the Company entered into an engagement letter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sale of the Shares, plus a management fee equal to 1.0% of the gross proceeds, non-accountable expenses of $125,000 for this Offering, and $10,000 for clearing expenses. The Company has also agreed to issue to Wainwright or its designees warrants to purchase up to 5.0% of the aggregate number of Shares sold under the Purchase Agreement (the “Wainwright Warrants”), or up to 45,045 shares of Common Stock. The Wainwright Warrants have a term of three and one-half (3.5) years, are not exercisable for a period of six months following the issuance, and have an exercise price of $13.875 per share (equal to 125% of the Offering price per share). The Engagement Letter also includes indemnification obligations of the Company and other provisions customary for transactions of this nature.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(but not the Wainwright Warrants, or the shares of Common Stock issuable upon the exercise of the Wainwright Warrants (the “Wainwright Warrant Shares”)) were offered and sold by the Company through a shelf registration statement on Form S-3 (File No.: 333-217076), which was initially filed with the Securities and Exchange Commission (the “SEC”) on March 31, 2017 and declared effective by the SEC on April 14, 2017 and a prospectus supplement relating to the Offering dated December 27, 2019 filed with the SEC.</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Wainwright Warrants and the Wainwright Warrant Shares are being offered and sold without registration under the Securities Act of 1933, as amended (the “Securities Act”), pursuant to the exemption provided in Section 4(a)(2) under the Securities Act and Regulation D promulgated thereunder and similar exemptions under applicable state laws in reliance on the following facts: no general solicitation was used in the offer or sale of such securities; the recipients of the securities had adequate access to information about the Company, through pre-existing relationships or otherwise; and such securities were issued as restricted securities with restricted legends referring to the Securities Act. No such securities may be offered or sold in the United States in the absence of an effective registration statement or exemption from applicable registration requirements.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Wainwright Warrants, the Purchase Agreement and the Engagement Letter do not purport to be complete and are qualified in their entirety by reference to the copy of each of the Form of Wainwright Warrants, Form of Purchase Agreement and the Engagement Letter, which are attached hereto as Exhibits 4.1, 10.1 and 10.2, respectively, and which are incorporated herein by reference.</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representations, warranties and covenants contained in the Purchase Agreement were made solely for the benefit of the parties to the Purchase Agreement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periodic reports and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under Item 1.01 of this Current Report on Form 8-K regarding the Wainwright Warrants and the Wainwright Warrant Shares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30, 2019, the Company issued a press release announcing the Offering, a copy of which is attached hereto as Exhibit 99.1 and is incorporated by reference into this Item 8.01 of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9"/>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320" w:type="dxa"/>
            <w:vAlign w:val="bottom"/>
            <w:tcBorders>
              <w:top w:val="single" w:sz="8" w:color="auto"/>
            </w:tcBorders>
            <w:gridSpan w:val="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Form of Wainwright Warrants</w:t>
              </w:r>
            </w:hyperlink>
          </w:p>
        </w:tc>
      </w:tr>
      <w:tr>
        <w:trPr>
          <w:trHeight w:val="20"/>
        </w:trPr>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Opinion of Mintz, Levin, Cohn, Ferris, Glovsky and Popeo, P.C</w:t>
              </w:r>
            </w:hyperlink>
            <w:r>
              <w:rPr>
                <w:rFonts w:ascii="Arial" w:cs="Arial" w:eastAsia="Arial" w:hAnsi="Arial"/>
                <w:sz w:val="18"/>
                <w:szCs w:val="18"/>
                <w:color w:val="000000"/>
              </w:rPr>
              <w:t>.</w:t>
            </w:r>
          </w:p>
        </w:tc>
      </w:tr>
      <w:tr>
        <w:trPr>
          <w:trHeight w:val="20"/>
        </w:trPr>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Form of Securities Purchase Agreement, dated as of December 30, 2019, by and among Microbot Medical Inc., and the Purchasers</w:t>
              </w:r>
            </w:hyperlink>
          </w:p>
        </w:tc>
      </w:tr>
      <w:tr>
        <w:trPr>
          <w:trHeight w:val="20"/>
        </w:trPr>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3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4">
              <w:r>
                <w:rPr>
                  <w:rFonts w:ascii="Arial" w:cs="Arial" w:eastAsia="Arial" w:hAnsi="Arial"/>
                  <w:sz w:val="18"/>
                  <w:szCs w:val="18"/>
                  <w:color w:val="0000EE"/>
                  <w:w w:val="93"/>
                </w:rPr>
                <w:t>Engagement Letter, dated as of December 24, 2019, by and between Microbot Medical Inc. and H.C. Wainwright &amp; Co., LLC (incorporated</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by reference to Exhibit 10.2 of the Registrant’s Form 8-K (File No. 000-19871) filed on December 27, 2019)</w:t>
              </w:r>
            </w:hyperlink>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Consent of Mintz, Levin, Cohn, Ferris, Glovsky and Popeo, P.C. (included in Exhibit 5.1)</w:t>
              </w:r>
            </w:hyperlink>
          </w:p>
        </w:tc>
        <w:tc>
          <w:tcPr>
            <w:tcW w:w="1380" w:type="dxa"/>
            <w:vAlign w:val="bottom"/>
            <w:tcBorders>
              <w:top w:val="single" w:sz="8" w:color="0000EE"/>
            </w:tcBorders>
          </w:tcPr>
          <w:p>
            <w:pPr>
              <w:spacing w:after="0"/>
              <w:rPr>
                <w:sz w:val="17"/>
                <w:szCs w:val="17"/>
                <w:color w:val="auto"/>
              </w:rPr>
            </w:pPr>
          </w:p>
        </w:tc>
        <w:tc>
          <w:tcPr>
            <w:tcW w:w="2480" w:type="dxa"/>
            <w:vAlign w:val="bottom"/>
            <w:gridSpan w:val="2"/>
          </w:tcPr>
          <w:p>
            <w:pPr>
              <w:spacing w:after="0"/>
              <w:rPr>
                <w:sz w:val="17"/>
                <w:szCs w:val="17"/>
                <w:color w:val="auto"/>
              </w:rPr>
            </w:pP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Press Release dated December 30, 2019</w:t>
              </w:r>
            </w:hyperlink>
            <w:r>
              <w:rPr>
                <w:rFonts w:ascii="Arial" w:cs="Arial" w:eastAsia="Arial" w:hAnsi="Arial"/>
                <w:sz w:val="18"/>
                <w:szCs w:val="18"/>
                <w:color w:val="000000"/>
              </w:rPr>
              <w:t>.</w:t>
            </w:r>
          </w:p>
        </w:tc>
      </w:tr>
      <w:tr>
        <w:trPr>
          <w:trHeight w:val="460"/>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5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Issue Date: December 31, 2019</w:t>
      </w:r>
    </w:p>
    <w:p>
      <w:pPr>
        <w:spacing w:after="0" w:line="200" w:lineRule="exact"/>
        <w:rPr>
          <w:sz w:val="20"/>
          <w:szCs w:val="20"/>
          <w:color w:val="auto"/>
        </w:rPr>
      </w:pPr>
    </w:p>
    <w:p>
      <w:pPr>
        <w:sectPr>
          <w:pgSz w:w="11900" w:h="16838" w:orient="portrait"/>
          <w:cols w:equalWidth="0" w:num="2">
            <w:col w:w="7280" w:space="720"/>
            <w:col w:w="3420"/>
          </w:cols>
          <w:pgMar w:left="240" w:top="337" w:right="239" w:bottom="1440" w:gutter="0" w:footer="0" w:header="0"/>
          <w:type w:val="continuous"/>
        </w:sectPr>
      </w:pPr>
    </w:p>
    <w:p>
      <w:pPr>
        <w:spacing w:after="0" w:line="48"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Initial Exercise Date: June 30, 2020</w:t>
      </w:r>
    </w:p>
    <w:p>
      <w:pPr>
        <w:sectPr>
          <w:pgSz w:w="11900" w:h="16838" w:orient="portrait"/>
          <w:cols w:equalWidth="0" w:num="1">
            <w:col w:w="11420"/>
          </w:cols>
          <w:pgMar w:left="240" w:top="337"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PLACEMENT  AGENT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w:t>
      </w:r>
    </w:p>
    <w:p>
      <w:pPr>
        <w:spacing w:after="0" w:line="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any time on or after the date set forth above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June 30, 2023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Microbot Medical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shares (as subject to 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the Company’s Common Stock. The purchase price of one share of Common Stock under this Warrant shall be equal to the Exercise Price, as defined in Section 2(b). This Warrant is being issued pursuant to that certain engagement letter, dated as of December 24, 2019, by and between the Company and H.C. Wainwright &amp; Co., LLC.</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 1:</w:t>
      </w:r>
    </w:p>
    <w:p>
      <w:pPr>
        <w:spacing w:after="0" w:line="24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Securities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December 30, 2019, among the Company and the purchasers signatory thereto.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5" w:lineRule="auto"/>
        <w:tabs>
          <w:tab w:leader="none" w:pos="83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 agree that, by reason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8" w:name="page9"/>
    <w:bookmarkEnd w:id="8"/>
    <w:p>
      <w:pPr>
        <w:jc w:val="both"/>
        <w:ind w:firstLine="648"/>
        <w:spacing w:after="0" w:line="264" w:lineRule="auto"/>
        <w:rPr>
          <w:sz w:val="20"/>
          <w:szCs w:val="20"/>
          <w:color w:val="auto"/>
        </w:rPr>
      </w:pPr>
      <w:r>
        <w:rPr>
          <w:rFonts w:ascii="Arial" w:cs="Arial" w:eastAsia="Arial" w:hAnsi="Arial"/>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81" w:lineRule="exact"/>
        <w:rPr>
          <w:sz w:val="20"/>
          <w:szCs w:val="20"/>
          <w:color w:val="auto"/>
        </w:rPr>
      </w:pPr>
    </w:p>
    <w:p>
      <w:pPr>
        <w:ind w:right="20" w:firstLine="645"/>
        <w:spacing w:after="0" w:line="277" w:lineRule="auto"/>
        <w:tabs>
          <w:tab w:leader="none" w:pos="8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$13.875,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45"/>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after the six-month anniversary of the Closing Date,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60" w:hanging="515"/>
        <w:spacing w:after="0" w:line="269" w:lineRule="auto"/>
        <w:tabs>
          <w:tab w:leader="none" w:pos="971" w:val="left"/>
        </w:tabs>
        <w:numPr>
          <w:ilvl w:val="0"/>
          <w:numId w:val="4"/>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2" w:lineRule="exact"/>
        <w:rPr>
          <w:rFonts w:ascii="Arial" w:cs="Arial" w:eastAsia="Arial" w:hAnsi="Arial"/>
          <w:sz w:val="17"/>
          <w:szCs w:val="17"/>
          <w:color w:val="auto"/>
        </w:rPr>
      </w:pPr>
    </w:p>
    <w:p>
      <w:pPr>
        <w:ind w:left="960" w:hanging="31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160" w:hanging="515"/>
        <w:spacing w:after="0" w:line="277" w:lineRule="auto"/>
        <w:tabs>
          <w:tab w:leader="none" w:pos="971"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9" w:name="page10"/>
    <w:bookmarkEnd w:id="9"/>
    <w:p>
      <w:pPr>
        <w:ind w:left="300" w:hanging="195"/>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80" w:hanging="327"/>
        <w:spacing w:after="0" w:line="284" w:lineRule="auto"/>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earliest of (i) two (2) Trading Days after the delivery to the Company of the Notice of Exercise, (ii) one (1) Trading Day after delivery of the aggregate Exercise Price to the Company and (iii) the number of Trading Days comprising the Standard Settlement Period, in each case,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0" w:name="page11"/>
    <w:bookmarkEnd w:id="10"/>
    <w:p>
      <w:pPr>
        <w:jc w:val="both"/>
        <w:ind w:left="1080" w:hanging="327"/>
        <w:spacing w:after="0" w:line="279"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1080" w:hanging="327"/>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jc w:val="both"/>
        <w:ind w:left="1080" w:hanging="327"/>
        <w:spacing w:after="0" w:line="284"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w:t>
      </w:r>
    </w:p>
    <w:p>
      <w:pPr>
        <w:spacing w:after="0" w:line="4" w:lineRule="exact"/>
        <w:rPr>
          <w:rFonts w:ascii="Arial" w:cs="Arial" w:eastAsia="Arial" w:hAnsi="Arial"/>
          <w:sz w:val="16"/>
          <w:szCs w:val="16"/>
          <w:color w:val="auto"/>
        </w:rPr>
      </w:pPr>
    </w:p>
    <w:p>
      <w:pPr>
        <w:jc w:val="both"/>
        <w:ind w:left="1080" w:hanging="3"/>
        <w:spacing w:after="0" w:line="284" w:lineRule="auto"/>
        <w:tabs>
          <w:tab w:leader="none" w:pos="1412" w:val="left"/>
        </w:tabs>
        <w:numPr>
          <w:ilvl w:val="1"/>
          <w:numId w:val="7"/>
        </w:numPr>
        <w:rPr>
          <w:rFonts w:ascii="Arial" w:cs="Arial" w:eastAsia="Arial" w:hAnsi="Arial"/>
          <w:sz w:val="16"/>
          <w:szCs w:val="16"/>
          <w:color w:val="auto"/>
        </w:rPr>
      </w:pPr>
      <w:r>
        <w:rPr>
          <w:rFonts w:ascii="Arial" w:cs="Arial" w:eastAsia="Arial" w:hAnsi="Arial"/>
          <w:sz w:val="16"/>
          <w:szCs w:val="16"/>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1" w:name="page12"/>
    <w:bookmarkEnd w:id="11"/>
    <w:p>
      <w:pPr>
        <w:jc w:val="both"/>
        <w:ind w:left="1080" w:hanging="327"/>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6" w:lineRule="exact"/>
        <w:rPr>
          <w:rFonts w:ascii="Arial" w:cs="Arial" w:eastAsia="Arial" w:hAnsi="Arial"/>
          <w:sz w:val="18"/>
          <w:szCs w:val="18"/>
          <w:color w:val="auto"/>
        </w:rPr>
      </w:pPr>
    </w:p>
    <w:p>
      <w:pPr>
        <w:jc w:val="both"/>
        <w:ind w:left="1080" w:hanging="327"/>
        <w:spacing w:after="0" w:line="289"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1080" w:hanging="327"/>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2" w:name="page13"/>
    <w:bookmarkEnd w:id="12"/>
    <w:p>
      <w:pPr>
        <w:jc w:val="both"/>
        <w:ind w:firstLine="645"/>
        <w:spacing w:after="0" w:line="282" w:lineRule="auto"/>
        <w:tabs>
          <w:tab w:leader="none" w:pos="84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1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effective until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83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rFonts w:ascii="Arial" w:cs="Arial" w:eastAsia="Arial" w:hAnsi="Arial"/>
          <w:sz w:val="16"/>
          <w:szCs w:val="16"/>
          <w:color w:val="auto"/>
        </w:rPr>
      </w:pPr>
    </w:p>
    <w:p>
      <w:pPr>
        <w:jc w:val="both"/>
        <w:ind w:firstLine="645"/>
        <w:spacing w:after="0" w:line="287" w:lineRule="auto"/>
        <w:tabs>
          <w:tab w:leader="none" w:pos="84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jc w:val="both"/>
        <w:ind w:firstLine="645"/>
        <w:spacing w:after="0" w:line="268" w:lineRule="auto"/>
        <w:tabs>
          <w:tab w:leader="none" w:pos="833"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4" w:name="page15"/>
    <w:bookmarkEnd w:id="14"/>
    <w:p>
      <w:pPr>
        <w:jc w:val="both"/>
        <w:ind w:left="-540" w:firstLine="645"/>
        <w:spacing w:after="0" w:line="282" w:lineRule="auto"/>
        <w:tabs>
          <w:tab w:leader="none" w:pos="30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 and 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5" w:name="page16"/>
    <w:bookmarkEnd w:id="15"/>
    <w:p>
      <w:pPr>
        <w:jc w:val="both"/>
        <w:ind w:firstLine="645"/>
        <w:spacing w:after="0" w:line="264" w:lineRule="auto"/>
        <w:tabs>
          <w:tab w:leader="none" w:pos="83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800" w:hanging="15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620" w:hanging="327"/>
        <w:spacing w:after="0" w:line="25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1620" w:hanging="327"/>
        <w:spacing w:after="0" w:line="285" w:lineRule="auto"/>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302" w:lineRule="auto"/>
        <w:tabs>
          <w:tab w:leader="none" w:pos="84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by operation of law or by reason of reorganization of the Company;</w:t>
      </w:r>
    </w:p>
    <w:p>
      <w:pPr>
        <w:spacing w:after="0" w:line="225" w:lineRule="exact"/>
        <w:rPr>
          <w:sz w:val="20"/>
          <w:szCs w:val="20"/>
          <w:color w:val="auto"/>
        </w:rPr>
      </w:pPr>
    </w:p>
    <w:p>
      <w:pPr>
        <w:ind w:right="20" w:firstLine="645"/>
        <w:spacing w:after="0" w:line="277" w:lineRule="auto"/>
        <w:tabs>
          <w:tab w:leader="none" w:pos="8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6" w:name="page17"/>
    <w:bookmarkEnd w:id="16"/>
    <w:p>
      <w:pPr>
        <w:ind w:left="640"/>
        <w:spacing w:after="0"/>
        <w:rPr>
          <w:sz w:val="20"/>
          <w:szCs w:val="20"/>
          <w:color w:val="auto"/>
        </w:rPr>
      </w:pPr>
      <w:r>
        <w:rPr>
          <w:rFonts w:ascii="Arial" w:cs="Arial" w:eastAsia="Arial" w:hAnsi="Arial"/>
          <w:sz w:val="16"/>
          <w:szCs w:val="16"/>
          <w:color w:val="auto"/>
        </w:rPr>
        <w:t>iii. if the aggregate amount of securities of the Company held by the underwriter or related persons do not exceed 1% of the securities being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offered;</w:t>
      </w:r>
    </w:p>
    <w:p>
      <w:pPr>
        <w:spacing w:after="0" w:line="211" w:lineRule="exact"/>
        <w:rPr>
          <w:sz w:val="20"/>
          <w:szCs w:val="20"/>
          <w:color w:val="auto"/>
        </w:rPr>
      </w:pPr>
    </w:p>
    <w:p>
      <w:pPr>
        <w:ind w:firstLine="645"/>
        <w:spacing w:after="0" w:line="342" w:lineRule="auto"/>
        <w:tabs>
          <w:tab w:leader="none" w:pos="86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23" w:lineRule="exact"/>
        <w:rPr>
          <w:rFonts w:ascii="Arial" w:cs="Arial" w:eastAsia="Arial" w:hAnsi="Arial"/>
          <w:sz w:val="16"/>
          <w:szCs w:val="16"/>
          <w:color w:val="auto"/>
        </w:rPr>
      </w:pPr>
    </w:p>
    <w:p>
      <w:pPr>
        <w:ind w:firstLine="645"/>
        <w:spacing w:after="0" w:line="277" w:lineRule="auto"/>
        <w:tabs>
          <w:tab w:leader="none" w:pos="8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in this Section 4(a) for the remainder of the time period.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Subject to the foregoing restriction and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3" w:lineRule="exact"/>
        <w:rPr>
          <w:sz w:val="20"/>
          <w:szCs w:val="20"/>
          <w:color w:val="auto"/>
        </w:rPr>
      </w:pPr>
    </w:p>
    <w:p>
      <w:pPr>
        <w:jc w:val="both"/>
        <w:ind w:firstLine="645"/>
        <w:spacing w:after="0" w:line="255" w:lineRule="auto"/>
        <w:tabs>
          <w:tab w:leader="none" w:pos="85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93" w:lineRule="exact"/>
        <w:rPr>
          <w:rFonts w:ascii="Arial" w:cs="Arial" w:eastAsia="Arial" w:hAnsi="Arial"/>
          <w:sz w:val="18"/>
          <w:szCs w:val="18"/>
          <w:color w:val="auto"/>
        </w:rPr>
      </w:pPr>
    </w:p>
    <w:p>
      <w:pPr>
        <w:jc w:val="both"/>
        <w:ind w:firstLine="645"/>
        <w:spacing w:after="0" w:line="259"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7" w:name="page18"/>
    <w:bookmarkEnd w:id="17"/>
    <w:p>
      <w:pPr>
        <w:jc w:val="both"/>
        <w:ind w:firstLine="645"/>
        <w:spacing w:after="0" w:line="257"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8" w:lineRule="exact"/>
        <w:rPr>
          <w:rFonts w:ascii="Arial" w:cs="Arial" w:eastAsia="Arial" w:hAnsi="Arial"/>
          <w:sz w:val="18"/>
          <w:szCs w:val="18"/>
          <w:color w:val="auto"/>
        </w:rPr>
      </w:pPr>
    </w:p>
    <w:p>
      <w:pPr>
        <w:jc w:val="both"/>
        <w:ind w:firstLine="645"/>
        <w:spacing w:after="0" w:line="291"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Representation by the Holder</w:t>
      </w:r>
      <w:r>
        <w:rPr>
          <w:rFonts w:ascii="Arial" w:cs="Arial" w:eastAsia="Arial" w:hAnsi="Arial"/>
          <w:sz w:val="16"/>
          <w:szCs w:val="16"/>
          <w:color w:val="auto"/>
        </w:rPr>
        <w:t>. The Holder, by the acceptance hereof, represents and warrants that (i)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(ii) it is not purchasing the Securities as a result of any advertisement, article, notice, electronic mail, website or other communication regarding this Warrant or the underlying securities published in any newspaper, magazine, internet platform or similar media or broadcast over television or radio or presented at any seminar or, to the knowledge of the Holder, any other general solicitation or general advertisement. The Holder has a pre-existing, substantive relationship with the Company at the time it was first offered the Warrant.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79" w:lineRule="auto"/>
        <w:tabs>
          <w:tab w:leader="none" w:pos="83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 No Settlement in Cash</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1" w:lineRule="exact"/>
        <w:rPr>
          <w:rFonts w:ascii="Arial" w:cs="Arial" w:eastAsia="Arial" w:hAnsi="Arial"/>
          <w:sz w:val="17"/>
          <w:szCs w:val="17"/>
          <w:color w:val="auto"/>
        </w:rPr>
      </w:pPr>
    </w:p>
    <w:p>
      <w:pPr>
        <w:jc w:val="both"/>
        <w:ind w:firstLine="645"/>
        <w:spacing w:after="0" w:line="276" w:lineRule="auto"/>
        <w:tabs>
          <w:tab w:leader="none" w:pos="85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2" w:lineRule="exact"/>
        <w:rPr>
          <w:rFonts w:ascii="Arial" w:cs="Arial" w:eastAsia="Arial" w:hAnsi="Arial"/>
          <w:sz w:val="17"/>
          <w:szCs w:val="17"/>
          <w:color w:val="auto"/>
        </w:rPr>
      </w:pPr>
    </w:p>
    <w:p>
      <w:pPr>
        <w:ind w:right="20" w:firstLine="645"/>
        <w:spacing w:after="0" w:line="342" w:lineRule="auto"/>
        <w:tabs>
          <w:tab w:leader="none" w:pos="84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8" w:name="page19"/>
    <w:bookmarkEnd w:id="18"/>
    <w:p>
      <w:pPr>
        <w:ind w:left="300" w:hanging="195"/>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1296"/>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19" w:name="page20"/>
    <w:bookmarkEnd w:id="19"/>
    <w:p>
      <w:pPr>
        <w:jc w:val="both"/>
        <w:ind w:left="-540" w:firstLine="645"/>
        <w:spacing w:after="0" w:line="268" w:lineRule="auto"/>
        <w:tabs>
          <w:tab w:leader="none" w:pos="29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rFonts w:ascii="Arial" w:cs="Arial" w:eastAsia="Arial" w:hAnsi="Arial"/>
          <w:sz w:val="17"/>
          <w:szCs w:val="17"/>
          <w:color w:val="auto"/>
        </w:rPr>
      </w:pPr>
    </w:p>
    <w:p>
      <w:pPr>
        <w:ind w:left="-540" w:firstLine="645"/>
        <w:spacing w:after="0" w:line="277" w:lineRule="auto"/>
        <w:tabs>
          <w:tab w:leader="none" w:pos="28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jc w:val="both"/>
        <w:ind w:left="-540" w:firstLine="645"/>
        <w:spacing w:after="0" w:line="273" w:lineRule="auto"/>
        <w:tabs>
          <w:tab w:leader="none" w:pos="30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8" w:lineRule="exact"/>
        <w:rPr>
          <w:rFonts w:ascii="Arial" w:cs="Arial" w:eastAsia="Arial" w:hAnsi="Arial"/>
          <w:sz w:val="17"/>
          <w:szCs w:val="17"/>
          <w:color w:val="auto"/>
        </w:rPr>
      </w:pPr>
    </w:p>
    <w:p>
      <w:pPr>
        <w:jc w:val="both"/>
        <w:ind w:left="-540" w:firstLine="645"/>
        <w:spacing w:after="0" w:line="268" w:lineRule="auto"/>
        <w:tabs>
          <w:tab w:leader="none" w:pos="34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20" w:name="page21"/>
    <w:bookmarkEnd w:id="20"/>
    <w:p>
      <w:pPr>
        <w:jc w:val="both"/>
        <w:ind w:firstLine="645"/>
        <w:spacing w:after="0" w:line="312" w:lineRule="auto"/>
        <w:tabs>
          <w:tab w:leader="none" w:pos="80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6" w:lineRule="exact"/>
        <w:rPr>
          <w:rFonts w:ascii="Arial" w:cs="Arial" w:eastAsia="Arial" w:hAnsi="Arial"/>
          <w:sz w:val="16"/>
          <w:szCs w:val="16"/>
          <w:color w:val="auto"/>
        </w:rPr>
      </w:pPr>
    </w:p>
    <w:p>
      <w:pPr>
        <w:jc w:val="both"/>
        <w:ind w:firstLine="645"/>
        <w:spacing w:after="0" w:line="259" w:lineRule="auto"/>
        <w:tabs>
          <w:tab w:leader="none" w:pos="80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5"/>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645"/>
        <w:spacing w:after="0" w:line="312" w:lineRule="auto"/>
        <w:tabs>
          <w:tab w:leader="none" w:pos="90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6" w:lineRule="exact"/>
        <w:rPr>
          <w:rFonts w:ascii="Arial" w:cs="Arial" w:eastAsia="Arial" w:hAnsi="Arial"/>
          <w:sz w:val="16"/>
          <w:szCs w:val="16"/>
          <w:color w:val="auto"/>
        </w:rPr>
      </w:pPr>
    </w:p>
    <w:p>
      <w:pPr>
        <w:jc w:val="both"/>
        <w:ind w:firstLine="645"/>
        <w:spacing w:after="0" w:line="286" w:lineRule="auto"/>
        <w:tabs>
          <w:tab w:leader="none" w:pos="84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MICROBOT MEDICAL INC.</w:t>
      </w:r>
    </w:p>
    <w:p>
      <w:pPr>
        <w:spacing w:after="0" w:line="225" w:lineRule="exact"/>
        <w:rPr>
          <w:sz w:val="20"/>
          <w:szCs w:val="20"/>
          <w:color w:val="auto"/>
        </w:rPr>
      </w:pPr>
    </w:p>
    <w:p>
      <w:pPr>
        <w:ind w:firstLine="1305"/>
        <w:spacing w:after="0" w:line="308" w:lineRule="auto"/>
        <w:tabs>
          <w:tab w:leader="none" w:pos="156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560" w:hanging="255"/>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560" w:hanging="255"/>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Accredited Investor.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left="1048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208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Name:</w:t>
            </w:r>
          </w:p>
        </w:tc>
        <w:tc>
          <w:tcPr>
            <w:tcW w:w="9780" w:type="dxa"/>
            <w:vAlign w:val="bottom"/>
          </w:tcPr>
          <w:p>
            <w:pPr>
              <w:ind w:left="408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1640" w:type="dxa"/>
            <w:vAlign w:val="bottom"/>
          </w:tcPr>
          <w:p>
            <w:pPr>
              <w:spacing w:after="0"/>
              <w:rPr>
                <w:sz w:val="20"/>
                <w:szCs w:val="20"/>
                <w:color w:val="auto"/>
              </w:rPr>
            </w:pPr>
          </w:p>
        </w:tc>
        <w:tc>
          <w:tcPr>
            <w:tcW w:w="9780" w:type="dxa"/>
            <w:vAlign w:val="bottom"/>
          </w:tcPr>
          <w:p>
            <w:pPr>
              <w:ind w:left="4080"/>
              <w:spacing w:after="0"/>
              <w:rPr>
                <w:sz w:val="20"/>
                <w:szCs w:val="20"/>
                <w:color w:val="auto"/>
              </w:rPr>
            </w:pPr>
            <w:r>
              <w:rPr>
                <w:rFonts w:ascii="Arial" w:cs="Arial" w:eastAsia="Arial" w:hAnsi="Arial"/>
                <w:sz w:val="18"/>
                <w:szCs w:val="18"/>
                <w:color w:val="auto"/>
              </w:rPr>
              <w:t>(Please Print)</w:t>
            </w:r>
          </w:p>
        </w:tc>
      </w:tr>
      <w:tr>
        <w:trPr>
          <w:trHeight w:val="418"/>
        </w:trPr>
        <w:tc>
          <w:tcPr>
            <w:tcW w:w="1640" w:type="dxa"/>
            <w:vAlign w:val="bottom"/>
          </w:tcPr>
          <w:p>
            <w:pPr>
              <w:spacing w:after="0"/>
              <w:rPr>
                <w:sz w:val="20"/>
                <w:szCs w:val="20"/>
                <w:color w:val="auto"/>
              </w:rPr>
            </w:pPr>
            <w:r>
              <w:rPr>
                <w:rFonts w:ascii="Arial" w:cs="Arial" w:eastAsia="Arial" w:hAnsi="Arial"/>
                <w:sz w:val="18"/>
                <w:szCs w:val="18"/>
                <w:color w:val="auto"/>
              </w:rPr>
              <w:t>Address:</w:t>
            </w:r>
          </w:p>
        </w:tc>
        <w:tc>
          <w:tcPr>
            <w:tcW w:w="9780" w:type="dxa"/>
            <w:vAlign w:val="bottom"/>
          </w:tcPr>
          <w:p>
            <w:pPr>
              <w:ind w:left="408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1640" w:type="dxa"/>
            <w:vAlign w:val="bottom"/>
          </w:tcPr>
          <w:p>
            <w:pPr>
              <w:spacing w:after="0"/>
              <w:rPr>
                <w:sz w:val="20"/>
                <w:szCs w:val="20"/>
                <w:color w:val="auto"/>
              </w:rPr>
            </w:pPr>
          </w:p>
        </w:tc>
        <w:tc>
          <w:tcPr>
            <w:tcW w:w="9780" w:type="dxa"/>
            <w:vAlign w:val="bottom"/>
          </w:tcPr>
          <w:p>
            <w:pPr>
              <w:ind w:left="4080"/>
              <w:spacing w:after="0"/>
              <w:rPr>
                <w:sz w:val="20"/>
                <w:szCs w:val="20"/>
                <w:color w:val="auto"/>
              </w:rPr>
            </w:pPr>
            <w:r>
              <w:rPr>
                <w:rFonts w:ascii="Arial" w:cs="Arial" w:eastAsia="Arial" w:hAnsi="Arial"/>
                <w:sz w:val="18"/>
                <w:szCs w:val="18"/>
                <w:color w:val="auto"/>
              </w:rPr>
              <w:t>(Please Print)</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Phone Number:</w:t>
            </w:r>
          </w:p>
        </w:tc>
        <w:tc>
          <w:tcPr>
            <w:tcW w:w="9780" w:type="dxa"/>
            <w:vAlign w:val="bottom"/>
          </w:tcPr>
          <w:p>
            <w:pPr>
              <w:ind w:left="4080"/>
              <w:spacing w:after="0"/>
              <w:rPr>
                <w:sz w:val="20"/>
                <w:szCs w:val="20"/>
                <w:color w:val="auto"/>
              </w:rPr>
            </w:pPr>
            <w:r>
              <w:rPr>
                <w:rFonts w:ascii="Arial" w:cs="Arial" w:eastAsia="Arial" w:hAnsi="Arial"/>
                <w:sz w:val="18"/>
                <w:szCs w:val="18"/>
                <w:color w:val="auto"/>
              </w:rPr>
              <w:t>______________________________________</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Email Address:</w:t>
            </w:r>
          </w:p>
        </w:tc>
        <w:tc>
          <w:tcPr>
            <w:tcW w:w="9780" w:type="dxa"/>
            <w:vAlign w:val="bottom"/>
          </w:tcPr>
          <w:p>
            <w:pPr>
              <w:ind w:left="4080"/>
              <w:spacing w:after="0"/>
              <w:rPr>
                <w:sz w:val="20"/>
                <w:szCs w:val="20"/>
                <w:color w:val="auto"/>
              </w:rPr>
            </w:pPr>
            <w:r>
              <w:rPr>
                <w:rFonts w:ascii="Arial" w:cs="Arial" w:eastAsia="Arial" w:hAnsi="Arial"/>
                <w:sz w:val="18"/>
                <w:szCs w:val="18"/>
                <w:color w:val="auto"/>
              </w:rPr>
              <w:t>______________________________________</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Dated:</w:t>
            </w:r>
          </w:p>
        </w:tc>
        <w:tc>
          <w:tcPr>
            <w:tcW w:w="9780" w:type="dxa"/>
            <w:vAlign w:val="bottom"/>
          </w:tcPr>
          <w:p>
            <w:pPr>
              <w:ind w:left="200"/>
              <w:spacing w:after="0"/>
              <w:rPr>
                <w:sz w:val="20"/>
                <w:szCs w:val="20"/>
                <w:color w:val="auto"/>
              </w:rPr>
            </w:pPr>
            <w:r>
              <w:rPr>
                <w:rFonts w:ascii="Arial" w:cs="Arial" w:eastAsia="Arial" w:hAnsi="Arial"/>
                <w:sz w:val="18"/>
                <w:szCs w:val="18"/>
                <w:color w:val="auto"/>
              </w:rPr>
              <w:t>_______________ __, ______</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Holder’s Signature:</w:t>
            </w:r>
          </w:p>
        </w:tc>
        <w:tc>
          <w:tcPr>
            <w:tcW w:w="9780" w:type="dxa"/>
            <w:vAlign w:val="bottom"/>
          </w:tcPr>
          <w:p>
            <w:pPr>
              <w:ind w:left="200"/>
              <w:spacing w:after="0"/>
              <w:rPr>
                <w:sz w:val="20"/>
                <w:szCs w:val="20"/>
                <w:color w:val="auto"/>
              </w:rPr>
            </w:pPr>
            <w:r>
              <w:rPr>
                <w:rFonts w:ascii="Arial" w:cs="Arial" w:eastAsia="Arial" w:hAnsi="Arial"/>
                <w:sz w:val="18"/>
                <w:szCs w:val="18"/>
                <w:color w:val="auto"/>
              </w:rPr>
              <w:t>________________________________</w:t>
            </w: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Holder’s Address:</w:t>
            </w:r>
          </w:p>
        </w:tc>
        <w:tc>
          <w:tcPr>
            <w:tcW w:w="9780" w:type="dxa"/>
            <w:vAlign w:val="bottom"/>
          </w:tcPr>
          <w:p>
            <w:pPr>
              <w:ind w:left="200"/>
              <w:spacing w:after="0"/>
              <w:rPr>
                <w:sz w:val="20"/>
                <w:szCs w:val="20"/>
                <w:color w:val="auto"/>
              </w:rPr>
            </w:pPr>
            <w:r>
              <w:rPr>
                <w:rFonts w:ascii="Arial" w:cs="Arial" w:eastAsia="Arial" w:hAnsi="Arial"/>
                <w:sz w:val="18"/>
                <w:szCs w:val="18"/>
                <w:color w:val="auto"/>
              </w:rPr>
              <w:t>________________________________</w:t>
            </w:r>
          </w:p>
        </w:tc>
      </w:tr>
      <w:tr>
        <w:trPr>
          <w:trHeight w:val="439"/>
        </w:trPr>
        <w:tc>
          <w:tcPr>
            <w:tcW w:w="164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1042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187325</wp:posOffset>
            </wp:positionV>
            <wp:extent cx="857885" cy="995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57885" cy="9950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www.mintz.com</w:t>
      </w:r>
    </w:p>
    <w:p>
      <w:pPr>
        <w:spacing w:after="0" w:line="200" w:lineRule="exact"/>
        <w:rPr>
          <w:sz w:val="20"/>
          <w:szCs w:val="20"/>
          <w:color w:val="auto"/>
        </w:rPr>
      </w:pPr>
    </w:p>
    <w:p>
      <w:pPr>
        <w:spacing w:after="0" w:line="304"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We have acted as legal counsel to Microbot Medical Inc., a Delaware corporation (the “Company”), in connection with the preparation and filing with the Securities and Exchange Commission (the “Commission”) of a Prospectus Supplement, dated December 30, 2019 (the “Prospectus Supplement”), to a Registration Statement (File No.: 333-217076) on Form S-3 (the “Registration Statement”), filed by the Company with the Commission under the Securities Act of 1933, as amended (the “Securities Act”). The Prospectus Supplement relates to the issuance and sale of shares (the “Shares”) of the Company’s common stock, $0.01 par value per share (the “Common Stock”) pursuant to a Securities Purchase Agreement, dated December 30, 2019, between the Company and the purchasers named therein (the “Purchase Agreement”).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Purchase Agreement.</w:t>
      </w:r>
    </w:p>
    <w:p>
      <w:pPr>
        <w:spacing w:after="0" w:line="19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(i) the Registration Statement, including the Prospectus Supplement, (ii) the Purchase Agreement, (iii) the Restated Certificate of Incorporation of the Company, as amended, as currently in effect, (iv) the Amended and Restated Bylaws of the Company, as currently in effect, and (v) certain resolutions adopted by the Board of Directors of the Company and committees thereof with respect to the Purchase Agreement and the issuance of the Shares.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961390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129540</wp:posOffset>
            </wp:positionV>
            <wp:extent cx="5145405" cy="557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145405" cy="55753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We have relied, without independent verification, on certificates of public officials and, as to matters of fact material to the opinions set forth below, on certificates of officers of the Company.</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81"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Based upon, subject to and limited by the foregoing, as of the date hereof, we are of the opinion that the Shares, when issued and sold in accordance with the Purchase Agreement and in the manner contemplated by the Registration Statement and the Prospectus Supplement, will be validly issued, fully paid and non-assessable.</w:t>
      </w:r>
    </w:p>
    <w:p>
      <w:pPr>
        <w:spacing w:after="0" w:line="181"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December 30, 2019, between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(2nd) Trading Day following the date hereof.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Mintz, Levin, Cohn, Ferris, Glovsky and Popeo, P.C., with offices located at One Financial Center, Boston, MA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02111.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material lien, charge, pledge, security interest, encumbrance, right of first refusal, preemptive right or other restriction.</w:t>
      </w: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$11.10,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333-217076 which registers the sale of the Shares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31" w:name="page32"/>
    <w:bookmarkEnd w:id="3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approximately $10 million of Shares. Each Purchaser’s Subscription Amount as set forth on the signature page hereto executed by such Purchaser shall be made available for “Delivery Versus Payment” settlement with the Company or its designees.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500" w:hanging="207"/>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560" w:hanging="267"/>
        <w:spacing w:after="0"/>
        <w:tabs>
          <w:tab w:leader="none" w:pos="1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legal opinion of Company Counsel, in a form reasonably acceptable to the Placement Agent and Purchasers;</w:t>
      </w:r>
    </w:p>
    <w:p>
      <w:pPr>
        <w:spacing w:after="0" w:line="225" w:lineRule="exact"/>
        <w:rPr>
          <w:rFonts w:ascii="Arial" w:cs="Arial" w:eastAsia="Arial" w:hAnsi="Arial"/>
          <w:sz w:val="18"/>
          <w:szCs w:val="18"/>
          <w:color w:val="auto"/>
        </w:rPr>
      </w:pPr>
    </w:p>
    <w:p>
      <w:pPr>
        <w:ind w:left="1640" w:hanging="347"/>
        <w:spacing w:after="0"/>
        <w:tabs>
          <w:tab w:leader="none" w:pos="1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Company’s wire instructions, on Company letterhead and executed by the Chief Executive Officer or Chief Financial</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Officer;</w:t>
      </w:r>
    </w:p>
    <w:p>
      <w:pPr>
        <w:spacing w:after="0" w:line="210" w:lineRule="exact"/>
        <w:rPr>
          <w:rFonts w:ascii="Arial" w:cs="Arial" w:eastAsia="Arial" w:hAnsi="Arial"/>
          <w:sz w:val="17"/>
          <w:szCs w:val="17"/>
          <w:color w:val="auto"/>
        </w:rPr>
      </w:pPr>
    </w:p>
    <w:p>
      <w:pPr>
        <w:jc w:val="both"/>
        <w:ind w:left="640" w:firstLine="653"/>
        <w:spacing w:after="0" w:line="312" w:lineRule="auto"/>
        <w:tabs>
          <w:tab w:leader="none" w:pos="1598"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Shares equal to such Purchaser’s Subscription Amount divided by the Per Share Purchase Price, registered in the name of such Purchaser; and</w:t>
      </w:r>
    </w:p>
    <w:p>
      <w:pPr>
        <w:spacing w:after="0" w:line="146" w:lineRule="exact"/>
        <w:rPr>
          <w:rFonts w:ascii="Arial" w:cs="Arial" w:eastAsia="Arial" w:hAnsi="Arial"/>
          <w:sz w:val="16"/>
          <w:szCs w:val="16"/>
          <w:color w:val="auto"/>
        </w:rPr>
      </w:pPr>
    </w:p>
    <w:p>
      <w:pPr>
        <w:ind w:left="1540" w:hanging="247"/>
        <w:spacing w:after="0"/>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248" w:lineRule="exact"/>
        <w:rPr>
          <w:rFonts w:ascii="Arial" w:cs="Arial" w:eastAsia="Arial" w:hAnsi="Arial"/>
          <w:sz w:val="16"/>
          <w:szCs w:val="16"/>
          <w:color w:val="auto"/>
        </w:rPr>
      </w:pPr>
    </w:p>
    <w:p>
      <w:pPr>
        <w:ind w:left="900" w:hanging="25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1500" w:hanging="207"/>
        <w:spacing w:after="0"/>
        <w:tabs>
          <w:tab w:leader="none" w:pos="15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3"/>
        <w:spacing w:after="0" w:line="277" w:lineRule="auto"/>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225" w:lineRule="exact"/>
        <w:rPr>
          <w:rFonts w:ascii="Arial" w:cs="Arial" w:eastAsia="Arial" w:hAnsi="Arial"/>
          <w:sz w:val="18"/>
          <w:szCs w:val="18"/>
          <w:color w:val="auto"/>
        </w:rPr>
      </w:pPr>
    </w:p>
    <w:p>
      <w:pPr>
        <w:jc w:val="both"/>
        <w:ind w:left="640" w:firstLine="653"/>
        <w:spacing w:after="0" w:line="264" w:lineRule="auto"/>
        <w:tabs>
          <w:tab w:leader="none" w:pos="15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33" w:name="page34"/>
    <w:bookmarkEnd w:id="33"/>
    <w:p>
      <w:pPr>
        <w:ind w:left="100" w:firstLine="653"/>
        <w:spacing w:after="0" w:line="277" w:lineRule="auto"/>
        <w:tabs>
          <w:tab w:leader="none" w:pos="10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1060" w:hanging="307"/>
        <w:spacing w:after="0"/>
        <w:tabs>
          <w:tab w:leader="none" w:pos="10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360" w:hanging="255"/>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248" w:lineRule="exact"/>
        <w:rPr>
          <w:rFonts w:ascii="Arial" w:cs="Arial" w:eastAsia="Arial" w:hAnsi="Arial"/>
          <w:sz w:val="16"/>
          <w:szCs w:val="16"/>
          <w:color w:val="auto"/>
        </w:rPr>
      </w:pPr>
    </w:p>
    <w:p>
      <w:pPr>
        <w:jc w:val="both"/>
        <w:ind w:left="100" w:firstLine="653"/>
        <w:spacing w:after="0" w:line="264" w:lineRule="auto"/>
        <w:tabs>
          <w:tab w:leader="none" w:pos="9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100" w:firstLine="653"/>
        <w:spacing w:after="0" w:line="277" w:lineRule="auto"/>
        <w:tabs>
          <w:tab w:leader="none" w:pos="102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1060" w:hanging="307"/>
        <w:spacing w:after="0"/>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060" w:hanging="307"/>
        <w:spacing w:after="0"/>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100" w:firstLine="653"/>
        <w:spacing w:after="0" w:line="291" w:lineRule="auto"/>
        <w:tabs>
          <w:tab w:leader="none" w:pos="1013" w:val="left"/>
        </w:tabs>
        <w:numPr>
          <w:ilvl w:val="1"/>
          <w:numId w:val="28"/>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6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Except as set forth in the SEC Reports or on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66" w:lineRule="exact"/>
        <w:rPr>
          <w:sz w:val="20"/>
          <w:szCs w:val="20"/>
          <w:color w:val="auto"/>
        </w:rPr>
      </w:pPr>
    </w:p>
    <w:p>
      <w:pPr>
        <w:jc w:val="both"/>
        <w:ind w:left="660" w:firstLine="645"/>
        <w:spacing w:after="0" w:line="257" w:lineRule="auto"/>
        <w:tabs>
          <w:tab w:leader="none" w:pos="155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8" w:lineRule="exact"/>
        <w:rPr>
          <w:rFonts w:ascii="Arial" w:cs="Arial" w:eastAsia="Arial" w:hAnsi="Arial"/>
          <w:sz w:val="18"/>
          <w:szCs w:val="18"/>
          <w:color w:val="auto"/>
        </w:rPr>
      </w:pPr>
    </w:p>
    <w:p>
      <w:pPr>
        <w:jc w:val="both"/>
        <w:ind w:left="660" w:firstLine="645"/>
        <w:spacing w:after="0" w:line="269" w:lineRule="auto"/>
        <w:tabs>
          <w:tab w:leader="none" w:pos="156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179" w:lineRule="exact"/>
        <w:rPr>
          <w:rFonts w:ascii="Arial" w:cs="Arial" w:eastAsia="Arial" w:hAnsi="Arial"/>
          <w:sz w:val="17"/>
          <w:szCs w:val="17"/>
          <w:color w:val="auto"/>
        </w:rPr>
      </w:pPr>
    </w:p>
    <w:p>
      <w:pPr>
        <w:jc w:val="both"/>
        <w:ind w:left="660" w:firstLine="645"/>
        <w:spacing w:after="0" w:line="269" w:lineRule="auto"/>
        <w:tabs>
          <w:tab w:leader="none" w:pos="15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left="-540" w:firstLine="645"/>
        <w:spacing w:after="0" w:line="269" w:lineRule="auto"/>
        <w:tabs>
          <w:tab w:leader="none" w:pos="377"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9" w:lineRule="exact"/>
        <w:rPr>
          <w:rFonts w:ascii="Arial" w:cs="Arial" w:eastAsia="Arial" w:hAnsi="Arial"/>
          <w:sz w:val="17"/>
          <w:szCs w:val="17"/>
          <w:color w:val="auto"/>
        </w:rPr>
      </w:pPr>
    </w:p>
    <w:p>
      <w:pPr>
        <w:jc w:val="both"/>
        <w:ind w:left="-540" w:firstLine="645"/>
        <w:spacing w:after="0" w:line="255" w:lineRule="auto"/>
        <w:tabs>
          <w:tab w:leader="none" w:pos="35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9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36" w:name="page37"/>
    <w:bookmarkEnd w:id="36"/>
    <w:p>
      <w:pPr>
        <w:jc w:val="both"/>
        <w:ind w:left="-540" w:firstLine="645"/>
        <w:spacing w:after="0" w:line="285" w:lineRule="auto"/>
        <w:tabs>
          <w:tab w:leader="none" w:pos="34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Issuance of the Shares;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April 14, 2017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70" w:lineRule="exact"/>
        <w:rPr>
          <w:rFonts w:ascii="Arial" w:cs="Arial" w:eastAsia="Arial" w:hAnsi="Arial"/>
          <w:sz w:val="16"/>
          <w:szCs w:val="16"/>
          <w:color w:val="auto"/>
        </w:rPr>
      </w:pPr>
    </w:p>
    <w:p>
      <w:pPr>
        <w:jc w:val="both"/>
        <w:ind w:left="-540" w:firstLine="645"/>
        <w:spacing w:after="0" w:line="284" w:lineRule="auto"/>
        <w:tabs>
          <w:tab w:leader="none" w:pos="36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37" w:name="page38"/>
    <w:bookmarkEnd w:id="37"/>
    <w:p>
      <w:pPr>
        <w:jc w:val="both"/>
        <w:ind w:left="-540" w:firstLine="645"/>
        <w:spacing w:after="0" w:line="285" w:lineRule="auto"/>
        <w:tabs>
          <w:tab w:leader="none" w:pos="36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38" w:name="page39"/>
    <w:bookmarkEnd w:id="38"/>
    <w:p>
      <w:pPr>
        <w:jc w:val="both"/>
        <w:ind w:left="-540" w:firstLine="645"/>
        <w:spacing w:after="0" w:line="268" w:lineRule="auto"/>
        <w:tabs>
          <w:tab w:leader="none" w:pos="3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xml:space="preserve">. Since the date of the latest audited financial statements included within the SEC Reports, except as disclosed in an SEC Report filed prior to the date hereof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5" w:lineRule="exact"/>
        <w:rPr>
          <w:rFonts w:ascii="Arial" w:cs="Arial" w:eastAsia="Arial" w:hAnsi="Arial"/>
          <w:sz w:val="17"/>
          <w:szCs w:val="17"/>
          <w:color w:val="auto"/>
        </w:rPr>
      </w:pPr>
    </w:p>
    <w:p>
      <w:pPr>
        <w:jc w:val="both"/>
        <w:ind w:left="-540" w:firstLine="645"/>
        <w:spacing w:after="0" w:line="270" w:lineRule="auto"/>
        <w:tabs>
          <w:tab w:leader="none" w:pos="33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disclosed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7" w:lineRule="exact"/>
        <w:rPr>
          <w:rFonts w:ascii="Arial" w:cs="Arial" w:eastAsia="Arial" w:hAnsi="Arial"/>
          <w:sz w:val="17"/>
          <w:szCs w:val="17"/>
          <w:color w:val="auto"/>
        </w:rPr>
      </w:pPr>
    </w:p>
    <w:p>
      <w:pPr>
        <w:jc w:val="both"/>
        <w:ind w:left="-540" w:firstLine="645"/>
        <w:spacing w:after="0" w:line="269" w:lineRule="auto"/>
        <w:tabs>
          <w:tab w:leader="none" w:pos="36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39" w:name="page40"/>
    <w:bookmarkEnd w:id="39"/>
    <w:p>
      <w:pPr>
        <w:jc w:val="both"/>
        <w:ind w:left="-540" w:firstLine="645"/>
        <w:spacing w:after="0" w:line="271" w:lineRule="auto"/>
        <w:tabs>
          <w:tab w:leader="none" w:pos="32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78" w:lineRule="exact"/>
        <w:rPr>
          <w:rFonts w:ascii="Arial" w:cs="Arial" w:eastAsia="Arial" w:hAnsi="Arial"/>
          <w:sz w:val="17"/>
          <w:szCs w:val="17"/>
          <w:color w:val="auto"/>
        </w:rPr>
      </w:pPr>
    </w:p>
    <w:p>
      <w:pPr>
        <w:jc w:val="both"/>
        <w:ind w:left="-540" w:firstLine="645"/>
        <w:spacing w:after="0" w:line="253" w:lineRule="auto"/>
        <w:tabs>
          <w:tab w:leader="none" w:pos="41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94" w:lineRule="exact"/>
        <w:rPr>
          <w:rFonts w:ascii="Arial" w:cs="Arial" w:eastAsia="Arial" w:hAnsi="Arial"/>
          <w:sz w:val="18"/>
          <w:szCs w:val="18"/>
          <w:color w:val="auto"/>
        </w:rPr>
      </w:pPr>
    </w:p>
    <w:p>
      <w:pPr>
        <w:jc w:val="both"/>
        <w:ind w:left="-540" w:firstLine="645"/>
        <w:spacing w:after="0" w:line="302" w:lineRule="auto"/>
        <w:tabs>
          <w:tab w:leader="none" w:pos="37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0" w:name="page41"/>
    <w:bookmarkEnd w:id="40"/>
    <w:p>
      <w:pPr>
        <w:jc w:val="both"/>
        <w:ind w:left="-540" w:firstLine="645"/>
        <w:spacing w:after="0" w:line="272" w:lineRule="auto"/>
        <w:tabs>
          <w:tab w:leader="none" w:pos="36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jc w:val="both"/>
        <w:ind w:left="-540" w:firstLine="645"/>
        <w:spacing w:after="0" w:line="268" w:lineRule="auto"/>
        <w:tabs>
          <w:tab w:leader="none" w:pos="37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7" w:lineRule="exact"/>
        <w:rPr>
          <w:rFonts w:ascii="Arial" w:cs="Arial" w:eastAsia="Arial" w:hAnsi="Arial"/>
          <w:sz w:val="17"/>
          <w:szCs w:val="17"/>
          <w:color w:val="auto"/>
        </w:rPr>
      </w:pPr>
    </w:p>
    <w:p>
      <w:pPr>
        <w:jc w:val="both"/>
        <w:ind w:left="-540" w:firstLine="645"/>
        <w:spacing w:after="0" w:line="257" w:lineRule="auto"/>
        <w:tabs>
          <w:tab w:leader="none" w:pos="36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1" w:name="page42"/>
    <w:bookmarkEnd w:id="41"/>
    <w:p>
      <w:pPr>
        <w:jc w:val="both"/>
        <w:ind w:left="-540" w:firstLine="645"/>
        <w:spacing w:after="0" w:line="290" w:lineRule="auto"/>
        <w:tabs>
          <w:tab w:leader="none" w:pos="33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66" w:lineRule="exact"/>
        <w:rPr>
          <w:rFonts w:ascii="Arial" w:cs="Arial" w:eastAsia="Arial" w:hAnsi="Arial"/>
          <w:sz w:val="16"/>
          <w:szCs w:val="16"/>
          <w:color w:val="auto"/>
        </w:rPr>
      </w:pPr>
    </w:p>
    <w:p>
      <w:pPr>
        <w:jc w:val="both"/>
        <w:ind w:left="-540" w:firstLine="645"/>
        <w:spacing w:after="0" w:line="267" w:lineRule="auto"/>
        <w:tabs>
          <w:tab w:leader="none" w:pos="357"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Controls</w:t>
      </w:r>
      <w:r>
        <w:rPr>
          <w:rFonts w:ascii="Arial" w:cs="Arial" w:eastAsia="Arial" w:hAnsi="Arial"/>
          <w:sz w:val="17"/>
          <w:szCs w:val="17"/>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7"/>
          <w:szCs w:val="17"/>
          <w:u w:val="single" w:color="auto"/>
          <w:color w:val="auto"/>
        </w:rPr>
        <w:t>Evaluation Date</w:t>
      </w:r>
      <w:r>
        <w:rPr>
          <w:rFonts w:ascii="Arial" w:cs="Arial" w:eastAsia="Arial" w:hAnsi="Arial"/>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rFonts w:ascii="Arial" w:cs="Arial" w:eastAsia="Arial" w:hAnsi="Arial"/>
          <w:sz w:val="17"/>
          <w:szCs w:val="17"/>
          <w:color w:val="auto"/>
        </w:rPr>
      </w:pPr>
    </w:p>
    <w:p>
      <w:pPr>
        <w:jc w:val="both"/>
        <w:ind w:left="-540" w:firstLine="645"/>
        <w:spacing w:after="0" w:line="257" w:lineRule="auto"/>
        <w:tabs>
          <w:tab w:leader="none" w:pos="32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2" w:name="page43"/>
    <w:bookmarkEnd w:id="42"/>
    <w:p>
      <w:pPr>
        <w:jc w:val="both"/>
        <w:ind w:left="-540" w:firstLine="645"/>
        <w:spacing w:after="0" w:line="259" w:lineRule="auto"/>
        <w:tabs>
          <w:tab w:leader="none" w:pos="3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3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540" w:firstLine="645"/>
        <w:spacing w:after="0" w:line="270" w:lineRule="auto"/>
        <w:tabs>
          <w:tab w:leader="none" w:pos="403"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1" w:lineRule="exact"/>
        <w:rPr>
          <w:rFonts w:ascii="Arial" w:cs="Arial" w:eastAsia="Arial" w:hAnsi="Arial"/>
          <w:sz w:val="17"/>
          <w:szCs w:val="17"/>
          <w:color w:val="auto"/>
        </w:rPr>
      </w:pPr>
    </w:p>
    <w:p>
      <w:pPr>
        <w:jc w:val="both"/>
        <w:ind w:left="-540" w:firstLine="645"/>
        <w:spacing w:after="0" w:line="255" w:lineRule="auto"/>
        <w:tabs>
          <w:tab w:leader="none" w:pos="3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9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3" w:name="page44"/>
    <w:bookmarkEnd w:id="43"/>
    <w:p>
      <w:pPr>
        <w:jc w:val="both"/>
        <w:ind w:left="-540" w:firstLine="645"/>
        <w:spacing w:after="0" w:line="270" w:lineRule="auto"/>
        <w:tabs>
          <w:tab w:leader="none" w:pos="36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7" w:lineRule="exact"/>
        <w:rPr>
          <w:rFonts w:ascii="Arial" w:cs="Arial" w:eastAsia="Arial" w:hAnsi="Arial"/>
          <w:sz w:val="17"/>
          <w:szCs w:val="17"/>
          <w:color w:val="auto"/>
        </w:rPr>
      </w:pPr>
    </w:p>
    <w:p>
      <w:pPr>
        <w:jc w:val="both"/>
        <w:ind w:left="-540" w:firstLine="645"/>
        <w:spacing w:after="0" w:line="257" w:lineRule="auto"/>
        <w:tabs>
          <w:tab w:leader="none" w:pos="36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88" w:lineRule="exact"/>
        <w:rPr>
          <w:sz w:val="20"/>
          <w:szCs w:val="20"/>
          <w:color w:val="auto"/>
        </w:rPr>
      </w:pPr>
    </w:p>
    <w:p>
      <w:pPr>
        <w:jc w:val="both"/>
        <w:ind w:left="-540" w:firstLine="645"/>
        <w:spacing w:after="0" w:line="267" w:lineRule="auto"/>
        <w:tabs>
          <w:tab w:leader="none" w:pos="43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9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4" w:name="page45"/>
    <w:bookmarkEnd w:id="44"/>
    <w:p>
      <w:pPr>
        <w:jc w:val="both"/>
        <w:ind w:left="-540" w:firstLine="645"/>
        <w:spacing w:after="0" w:line="272" w:lineRule="auto"/>
        <w:tabs>
          <w:tab w:leader="none" w:pos="45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77" w:lineRule="exact"/>
        <w:rPr>
          <w:rFonts w:ascii="Arial" w:cs="Arial" w:eastAsia="Arial" w:hAnsi="Arial"/>
          <w:sz w:val="17"/>
          <w:szCs w:val="17"/>
          <w:color w:val="auto"/>
        </w:rPr>
      </w:pPr>
    </w:p>
    <w:p>
      <w:pPr>
        <w:jc w:val="both"/>
        <w:ind w:left="-540" w:firstLine="645"/>
        <w:spacing w:after="0" w:line="273" w:lineRule="auto"/>
        <w:tabs>
          <w:tab w:leader="none" w:pos="44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8" w:lineRule="exact"/>
        <w:rPr>
          <w:rFonts w:ascii="Arial" w:cs="Arial" w:eastAsia="Arial" w:hAnsi="Arial"/>
          <w:sz w:val="17"/>
          <w:szCs w:val="17"/>
          <w:color w:val="auto"/>
        </w:rPr>
      </w:pPr>
    </w:p>
    <w:p>
      <w:pPr>
        <w:jc w:val="both"/>
        <w:ind w:left="-540" w:firstLine="645"/>
        <w:spacing w:after="0" w:line="259" w:lineRule="auto"/>
        <w:tabs>
          <w:tab w:leader="none" w:pos="45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independent registered public accounting firm is Brightman Almagor Zohar &amp; Co., a Member of Deloitte Touche Tohmatsu Limited.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186" w:lineRule="exact"/>
        <w:rPr>
          <w:rFonts w:ascii="Arial" w:cs="Arial" w:eastAsia="Arial" w:hAnsi="Arial"/>
          <w:sz w:val="18"/>
          <w:szCs w:val="18"/>
          <w:color w:val="auto"/>
        </w:rPr>
      </w:pPr>
    </w:p>
    <w:p>
      <w:pPr>
        <w:jc w:val="both"/>
        <w:ind w:left="-540" w:firstLine="645"/>
        <w:spacing w:after="0" w:line="254" w:lineRule="auto"/>
        <w:tabs>
          <w:tab w:leader="none" w:pos="50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Purchase of Shares</w:t>
      </w:r>
      <w:r>
        <w:rPr>
          <w:rFonts w:ascii="Arial" w:cs="Arial" w:eastAsia="Arial" w:hAnsi="Arial"/>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5" w:name="page46"/>
    <w:bookmarkEnd w:id="45"/>
    <w:p>
      <w:pPr>
        <w:jc w:val="both"/>
        <w:ind w:left="-540" w:firstLine="645"/>
        <w:spacing w:after="0" w:line="287" w:lineRule="auto"/>
        <w:tabs>
          <w:tab w:leader="none" w:pos="44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Acknowledgment Regarding Purchaser’s Trading Activity.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68" w:lineRule="exact"/>
        <w:rPr>
          <w:rFonts w:ascii="Arial" w:cs="Arial" w:eastAsia="Arial" w:hAnsi="Arial"/>
          <w:sz w:val="16"/>
          <w:szCs w:val="16"/>
          <w:color w:val="auto"/>
        </w:rPr>
      </w:pPr>
    </w:p>
    <w:p>
      <w:pPr>
        <w:jc w:val="both"/>
        <w:ind w:left="-540" w:firstLine="645"/>
        <w:spacing w:after="0" w:line="276" w:lineRule="auto"/>
        <w:tabs>
          <w:tab w:leader="none" w:pos="45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Regulation M Compliance</w:t>
      </w:r>
      <w:r>
        <w:rPr>
          <w:rFonts w:ascii="Arial" w:cs="Arial" w:eastAsia="Arial" w:hAnsi="Arial"/>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172" w:lineRule="exact"/>
        <w:rPr>
          <w:rFonts w:ascii="Arial" w:cs="Arial" w:eastAsia="Arial" w:hAnsi="Arial"/>
          <w:sz w:val="17"/>
          <w:szCs w:val="17"/>
          <w:color w:val="auto"/>
        </w:rPr>
      </w:pPr>
    </w:p>
    <w:p>
      <w:pPr>
        <w:jc w:val="both"/>
        <w:ind w:left="-540" w:firstLine="645"/>
        <w:spacing w:after="0" w:line="285" w:lineRule="auto"/>
        <w:tabs>
          <w:tab w:leader="none" w:pos="45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6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6" w:name="page47"/>
    <w:bookmarkEnd w:id="46"/>
    <w:p>
      <w:pPr>
        <w:jc w:val="both"/>
        <w:ind w:left="-540" w:firstLine="645"/>
        <w:spacing w:after="0" w:line="273" w:lineRule="auto"/>
        <w:tabs>
          <w:tab w:leader="none" w:pos="37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8" w:lineRule="exact"/>
        <w:rPr>
          <w:rFonts w:ascii="Arial" w:cs="Arial" w:eastAsia="Arial" w:hAnsi="Arial"/>
          <w:sz w:val="17"/>
          <w:szCs w:val="17"/>
          <w:color w:val="auto"/>
        </w:rPr>
      </w:pPr>
    </w:p>
    <w:p>
      <w:pPr>
        <w:jc w:val="both"/>
        <w:ind w:left="-540" w:firstLine="645"/>
        <w:spacing w:after="0" w:line="264" w:lineRule="auto"/>
        <w:tabs>
          <w:tab w:leader="none" w:pos="38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540" w:firstLine="645"/>
        <w:spacing w:after="0" w:line="308" w:lineRule="auto"/>
        <w:tabs>
          <w:tab w:leader="none" w:pos="467"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U.S. Real Property Holding Corporation</w:t>
      </w:r>
      <w:r>
        <w:rPr>
          <w:rFonts w:ascii="Arial" w:cs="Arial" w:eastAsia="Arial" w:hAnsi="Arial"/>
          <w:sz w:val="17"/>
          <w:szCs w:val="17"/>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46" w:lineRule="exact"/>
        <w:rPr>
          <w:rFonts w:ascii="Arial" w:cs="Arial" w:eastAsia="Arial" w:hAnsi="Arial"/>
          <w:sz w:val="17"/>
          <w:szCs w:val="17"/>
          <w:color w:val="auto"/>
        </w:rPr>
      </w:pPr>
    </w:p>
    <w:p>
      <w:pPr>
        <w:jc w:val="both"/>
        <w:ind w:left="-540" w:firstLine="645"/>
        <w:spacing w:after="0" w:line="273" w:lineRule="auto"/>
        <w:tabs>
          <w:tab w:leader="none" w:pos="37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7" w:name="page48"/>
    <w:bookmarkEnd w:id="47"/>
    <w:p>
      <w:pPr>
        <w:jc w:val="both"/>
        <w:ind w:left="660" w:firstLine="645"/>
        <w:spacing w:after="0" w:line="276" w:lineRule="auto"/>
        <w:tabs>
          <w:tab w:leader="none" w:pos="1767"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24" w:lineRule="exact"/>
        <w:rPr>
          <w:sz w:val="20"/>
          <w:szCs w:val="20"/>
          <w:color w:val="auto"/>
        </w:rPr>
      </w:pPr>
    </w:p>
    <w:p>
      <w:pPr>
        <w:jc w:val="both"/>
        <w:ind w:left="380" w:firstLine="925"/>
        <w:spacing w:after="0" w:line="269" w:lineRule="auto"/>
        <w:tabs>
          <w:tab w:leader="none" w:pos="1556"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rFonts w:ascii="Arial" w:cs="Arial" w:eastAsia="Arial" w:hAnsi="Arial"/>
          <w:sz w:val="17"/>
          <w:szCs w:val="17"/>
          <w:color w:val="auto"/>
        </w:rPr>
      </w:pPr>
    </w:p>
    <w:p>
      <w:pPr>
        <w:jc w:val="both"/>
        <w:ind w:left="380" w:firstLine="654"/>
        <w:spacing w:after="0" w:line="289" w:lineRule="auto"/>
        <w:tabs>
          <w:tab w:leader="none" w:pos="1296"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 Such Purchaser is acquiring such Shares as principal for his, her 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such Shares pursuant to a registration statement or otherwise in compliance with applicable federal and state securities laws).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firstLine="925"/>
        <w:spacing w:after="0" w:line="264" w:lineRule="auto"/>
        <w:tabs>
          <w:tab w:leader="none" w:pos="117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Shares, it was, and as of the date hereof it is either: (i) an “accredited investor” as defined in Rule 501(a)(1), (a)(2), (a)(3), (a)(7) or (a)(8) under the Securities Act or (ii) a “qualified institutional buyer” as defined in Rule 144A(a) under the Securities Act.</w:t>
      </w:r>
    </w:p>
    <w:p>
      <w:pPr>
        <w:spacing w:after="0" w:line="181" w:lineRule="exact"/>
        <w:rPr>
          <w:rFonts w:ascii="Arial" w:cs="Arial" w:eastAsia="Arial" w:hAnsi="Arial"/>
          <w:sz w:val="18"/>
          <w:szCs w:val="18"/>
          <w:color w:val="auto"/>
        </w:rPr>
      </w:pPr>
    </w:p>
    <w:p>
      <w:pPr>
        <w:jc w:val="both"/>
        <w:ind w:firstLine="925"/>
        <w:spacing w:after="0" w:line="259" w:lineRule="auto"/>
        <w:tabs>
          <w:tab w:leader="none" w:pos="117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5"/>
        <w:spacing w:after="0" w:line="287" w:lineRule="auto"/>
        <w:tabs>
          <w:tab w:leader="none" w:pos="116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620" w:top="665" w:right="239" w:bottom="1440" w:gutter="0" w:footer="0" w:header="0"/>
        </w:sectPr>
      </w:pPr>
    </w:p>
    <w:bookmarkStart w:id="49" w:name="page50"/>
    <w:bookmarkEnd w:id="49"/>
    <w:p>
      <w:pPr>
        <w:jc w:val="both"/>
        <w:ind w:left="380" w:firstLine="925"/>
        <w:spacing w:after="0" w:line="268" w:lineRule="auto"/>
        <w:tabs>
          <w:tab w:leader="none" w:pos="152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8"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Removed.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ind w:firstLine="648"/>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right="2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Shares hereunder for the purposes described in the Prospectus Supplement.</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ind w:firstLine="648"/>
        <w:spacing w:after="0" w:line="28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w:t>
      </w:r>
    </w:p>
    <w:p>
      <w:pPr>
        <w:jc w:val="both"/>
        <w:ind w:right="20"/>
        <w:spacing w:after="0" w:line="205" w:lineRule="auto"/>
        <w:rPr>
          <w:sz w:val="20"/>
          <w:szCs w:val="20"/>
          <w:color w:val="auto"/>
        </w:rPr>
      </w:pPr>
      <w:r>
        <w:rPr>
          <w:rFonts w:ascii="Arial" w:cs="Arial" w:eastAsia="Arial" w:hAnsi="Arial"/>
          <w:sz w:val="18"/>
          <w:szCs w:val="18"/>
          <w:color w:val="auto"/>
        </w:rPr>
        <w:t>on or before the fifth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ind w:firstLine="648"/>
        <w:spacing w:after="0" w:line="28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w:t>
      </w:r>
    </w:p>
    <w:p>
      <w:pPr>
        <w:jc w:val="both"/>
        <w:ind w:firstLine="8"/>
        <w:spacing w:after="0" w:line="281" w:lineRule="auto"/>
        <w:tabs>
          <w:tab w:leader="none" w:pos="2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w:t>
      </w:r>
    </w:p>
    <w:p>
      <w:pPr>
        <w:spacing w:after="0" w:line="208" w:lineRule="auto"/>
        <w:rPr>
          <w:sz w:val="20"/>
          <w:szCs w:val="20"/>
          <w:color w:val="auto"/>
        </w:rPr>
      </w:pPr>
      <w:r>
        <w:rPr>
          <w:rFonts w:ascii="Arial" w:cs="Arial" w:eastAsia="Arial" w:hAnsi="Arial"/>
          <w:sz w:val="16"/>
          <w:szCs w:val="16"/>
          <w:color w:val="auto"/>
        </w:rPr>
        <w:t>time) on any Trading Day, (c) the second (2</w:t>
      </w:r>
      <w:r>
        <w:rPr>
          <w:rFonts w:ascii="Arial" w:cs="Arial" w:eastAsia="Arial" w:hAnsi="Arial"/>
          <w:sz w:val="26"/>
          <w:szCs w:val="26"/>
          <w:color w:val="auto"/>
          <w:vertAlign w:val="superscript"/>
        </w:rPr>
        <w:t>nd</w:t>
      </w:r>
      <w:r>
        <w:rPr>
          <w:rFonts w:ascii="Arial" w:cs="Arial" w:eastAsia="Arial" w:hAnsi="Arial"/>
          <w:sz w:val="16"/>
          <w:szCs w:val="16"/>
          <w:color w:val="auto"/>
        </w:rPr>
        <w:t>)Trading Day following the date of mailing, if sent by U.S. nationally recognized overnight courier service or</w:t>
      </w:r>
    </w:p>
    <w:p>
      <w:pPr>
        <w:jc w:val="both"/>
        <w:ind w:firstLine="8"/>
        <w:spacing w:after="0" w:line="253"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ind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MICROBOT MEDICAL INC.</w:t>
            </w:r>
          </w:p>
        </w:tc>
        <w:tc>
          <w:tcPr>
            <w:tcW w:w="22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Address for Notice:</w:t>
            </w:r>
          </w:p>
        </w:tc>
      </w:tr>
      <w:tr>
        <w:trPr>
          <w:trHeight w:val="460"/>
        </w:trPr>
        <w:tc>
          <w:tcPr>
            <w:tcW w:w="57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Fax:</w:t>
            </w:r>
          </w:p>
        </w:tc>
      </w:tr>
      <w:tr>
        <w:trPr>
          <w:trHeight w:val="188"/>
        </w:trPr>
        <w:tc>
          <w:tcPr>
            <w:tcW w:w="580" w:type="dxa"/>
            <w:vAlign w:val="bottom"/>
          </w:tcPr>
          <w:p>
            <w:pPr>
              <w:spacing w:after="0" w:line="189" w:lineRule="exact"/>
              <w:rPr>
                <w:sz w:val="20"/>
                <w:szCs w:val="20"/>
                <w:color w:val="auto"/>
              </w:rPr>
            </w:pPr>
            <w:r>
              <w:rPr>
                <w:rFonts w:ascii="Arial" w:cs="Arial" w:eastAsia="Arial" w:hAnsi="Arial"/>
                <w:sz w:val="18"/>
                <w:szCs w:val="18"/>
                <w:color w:val="auto"/>
              </w:rPr>
              <w:t>Name:</w:t>
            </w:r>
          </w:p>
        </w:tc>
        <w:tc>
          <w:tcPr>
            <w:tcW w:w="5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line="189" w:lineRule="exact"/>
              <w:rPr>
                <w:sz w:val="20"/>
                <w:szCs w:val="20"/>
                <w:color w:val="auto"/>
              </w:rPr>
            </w:pPr>
            <w:r>
              <w:rPr>
                <w:rFonts w:ascii="Arial" w:cs="Arial" w:eastAsia="Arial" w:hAnsi="Arial"/>
                <w:sz w:val="18"/>
                <w:szCs w:val="18"/>
                <w:color w:val="auto"/>
              </w:rPr>
              <w:t>E-mail:</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Mintz, Levin, Cohn, Ferris, Glovsky and Popeo, P.C.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One Financial Center</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Boston, MA 02111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Attn: Marc D. Mantell, Esq.</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Ruskin Moscou Faltischek, P.C.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color w:val="auto"/>
              </w:rPr>
              <w:t>1425 RXR Plaza</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3"/>
        </w:trPr>
        <w:tc>
          <w:tcPr>
            <w:tcW w:w="5740" w:type="dxa"/>
            <w:vAlign w:val="bottom"/>
            <w:gridSpan w:val="2"/>
          </w:tcPr>
          <w:p>
            <w:pPr>
              <w:spacing w:after="0" w:line="253" w:lineRule="exact"/>
              <w:rPr>
                <w:sz w:val="20"/>
                <w:szCs w:val="20"/>
                <w:color w:val="auto"/>
              </w:rPr>
            </w:pPr>
            <w:r>
              <w:rPr>
                <w:rFonts w:ascii="Arial" w:cs="Arial" w:eastAsia="Arial" w:hAnsi="Arial"/>
                <w:sz w:val="18"/>
                <w:szCs w:val="18"/>
                <w:color w:val="auto"/>
              </w:rPr>
              <w:t>East Tower,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Uniondale, New York 11556</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Attn: Stephen E. Fox, Esq.</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[PURCHASER SIGNATURE PAGES TO MBOT SECURITIES PURCHASE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25" w:lineRule="exact"/>
        <w:rPr>
          <w:sz w:val="20"/>
          <w:szCs w:val="20"/>
          <w:color w:val="auto"/>
        </w:rPr>
      </w:pPr>
    </w:p>
    <w:p>
      <w:pPr>
        <w:jc w:val="both"/>
        <w:ind w:firstLine="8"/>
        <w:spacing w:after="0" w:line="272" w:lineRule="auto"/>
        <w:tabs>
          <w:tab w:leader="none" w:pos="2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 Announces $10 Million Registered Direct Offering Priced At-the-Market under Nasdaq Rules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Mass., December 30, 2019 – Microbot Medical Inc. (Nasdaq: MBOT), a medical device company specializing in the design and development of transformational micro-robotic medical technologies, today announced that it has entered into definitive agreements with certain institutional investors for the purchase in a registered direct offering of 900,901 shares of its common stock, at a purchase price per share of $11.10, priced at-the-market under Nasdaq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occur on or about January 2, 2020, subject to the satisfaction of customary closing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gross proceeds to Microbot, before deducting placement agent fees and other offering expenses, are expected to be approximately $10 million. Microbot currently intends to use the net proceeds from this offering for the continuous development and regulatory activities for its SCS device for the treatment of hydrocephalus and NPH; continue the development of the Company’s LIBERTY robotic system, including its expansion through addition of complementary assets to it either through internal development, in-license or acquisitions; expand and develop additional applications deriving from its existing IP portfolio, either through internal development, in-license or acquisition; and for working capital and other general corporate purposes.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of common stock are being offered by Microbot pursuant to a “shelf” registration statement on Form S-3 that was originally filed on March 31, 2017 and declared effective by the Securities and Exchange Commission (“SEC”) on April 14, 2017 and the base prospectus contained therein (File No. 333-217076). The offering of the shares of common stock is being made only by means of a prospectus supplement that forms a part of the registration statement. A final prospectus supplement and accompanying base prospectus relating to the shares of common stock being offered will be filed with the SEC. Electronic copies of the final prospectus supplement and accompanying base prospectus may be obtained, when available, on the SEC’s website at http://www.sec.gov or by contacting H.C. Wainwright &amp; Co., LLC at 430 Park Avenue, 3rd Floor, New York, NY 10022, by phone at 646-975-6996 or e-mail at placements@hcwco.com.</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of the securities described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and in the prospectus supplement related to the registered direct offering to be filed with the SEC, which are or will be available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Microbot Medical disclaims any intent or obligation to update these forward-looking statements,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Erich Sandoval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Finn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erich.sandoval@finnpartners.com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212-867-1762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abstractNum>
  <w:abstractNum w:abstractNumId="2">
    <w:nsid w:val="189A769B"/>
    <w:multiLevelType w:val="hybridMultilevel"/>
    <w:lvl w:ilvl="0">
      <w:lvlJc w:val="left"/>
      <w:lvlText w:val="%1)"/>
      <w:numFmt w:val="lowerLetter"/>
      <w:start w:val="2"/>
    </w:lvl>
  </w:abstractNum>
  <w:abstractNum w:abstractNumId="3">
    <w:nsid w:val="54E49EB4"/>
    <w:multiLevelType w:val="hybridMultilevel"/>
    <w:lvl w:ilvl="0">
      <w:lvlJc w:val="left"/>
      <w:lvlText w:val="(%1)"/>
      <w:numFmt w:val="upperLetter"/>
      <w:start w:val="1"/>
    </w:lvl>
  </w:abstractNum>
  <w:abstractNum w:abstractNumId="4">
    <w:nsid w:val="71F32454"/>
    <w:multiLevelType w:val="hybridMultilevel"/>
    <w:lvl w:ilvl="0">
      <w:lvlJc w:val="left"/>
      <w:lvlText w:val="(%1)"/>
      <w:numFmt w:val="upperLetter"/>
      <w:start w:val="24"/>
    </w:lvl>
  </w:abstractNum>
  <w:abstractNum w:abstractNumId="5">
    <w:nsid w:val="2CA88611"/>
    <w:multiLevelType w:val="hybridMultilevel"/>
    <w:lvl w:ilvl="0">
      <w:lvlJc w:val="left"/>
      <w:lvlText w:val="%1)"/>
      <w:numFmt w:val="lowerLetter"/>
      <w:start w:val="4"/>
    </w:lvl>
    <w:lvl w:ilvl="1">
      <w:lvlJc w:val="left"/>
      <w:lvlText w:val="%2."/>
      <w:numFmt w:val="lowerRoman"/>
      <w:start w:val="1"/>
    </w:lvl>
  </w:abstractNum>
  <w:abstractNum w:abstractNumId="6">
    <w:nsid w:val="836C40E"/>
    <w:multiLevelType w:val="hybridMultilevel"/>
    <w:lvl w:ilvl="0">
      <w:lvlJc w:val="left"/>
      <w:lvlText w:val="%1."/>
      <w:numFmt w:val="lowerRoman"/>
      <w:start w:val="2"/>
    </w:lvl>
    <w:lvl w:ilvl="1">
      <w:lvlJc w:val="left"/>
      <w:lvlText w:val="(%2)"/>
      <w:numFmt w:val="upperLetter"/>
      <w:start w:val="1"/>
    </w:lvl>
  </w:abstractNum>
  <w:abstractNum w:abstractNumId="7">
    <w:nsid w:val="2901D82"/>
    <w:multiLevelType w:val="hybridMultilevel"/>
    <w:lvl w:ilvl="0">
      <w:lvlJc w:val="left"/>
      <w:lvlText w:val="%1."/>
      <w:numFmt w:val="lowerRoman"/>
      <w:start w:val="5"/>
    </w:lvl>
  </w:abstractNum>
  <w:abstractNum w:abstractNumId="8">
    <w:nsid w:val="3A95F874"/>
    <w:multiLevelType w:val="hybridMultilevel"/>
    <w:lvl w:ilvl="0">
      <w:lvlJc w:val="left"/>
      <w:lvlText w:val="%1)"/>
      <w:numFmt w:val="lowerLetter"/>
      <w:start w:val="5"/>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4"/>
    </w:lvl>
  </w:abstractNum>
  <w:abstractNum w:abstractNumId="11">
    <w:nsid w:val="7C3DBD3D"/>
    <w:multiLevelType w:val="hybridMultilevel"/>
    <w:lvl w:ilvl="0">
      <w:lvlJc w:val="left"/>
      <w:lvlText w:val="%1)"/>
      <w:numFmt w:val="lowerLetter"/>
      <w:start w:val="5"/>
    </w:lvl>
    <w:lvl w:ilvl="1">
      <w:lvlJc w:val="left"/>
      <w:lvlText w:val="%2."/>
      <w:numFmt w:val="lowerRoman"/>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Roman"/>
      <w:start w:val="2"/>
    </w:lvl>
  </w:abstractNum>
  <w:abstractNum w:abstractNumId="14">
    <w:nsid w:val="22221A70"/>
    <w:multiLevelType w:val="hybridMultilevel"/>
    <w:lvl w:ilvl="0">
      <w:lvlJc w:val="left"/>
      <w:lvlText w:val="%1."/>
      <w:numFmt w:val="lowerRoman"/>
      <w:start w:val="4"/>
    </w:lvl>
  </w:abstractNum>
  <w:abstractNum w:abstractNumId="15">
    <w:nsid w:val="4516DDE9"/>
    <w:multiLevelType w:val="hybridMultilevel"/>
    <w:lvl w:ilvl="0">
      <w:lvlJc w:val="left"/>
      <w:lvlText w:val="%1)"/>
      <w:numFmt w:val="lowerLetter"/>
      <w:start w:val="2"/>
    </w:lvl>
  </w:abstractNum>
  <w:abstractNum w:abstractNumId="16">
    <w:nsid w:val="3006C83E"/>
    <w:multiLevelType w:val="hybridMultilevel"/>
    <w:lvl w:ilvl="0">
      <w:lvlJc w:val="left"/>
      <w:lvlText w:val="%1)"/>
      <w:numFmt w:val="lowerLetter"/>
      <w:start w:val="4"/>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4"/>
    </w:lvl>
  </w:abstractNum>
  <w:abstractNum w:abstractNumId="19">
    <w:nsid w:val="5577F8E1"/>
    <w:multiLevelType w:val="hybridMultilevel"/>
    <w:lvl w:ilvl="0">
      <w:lvlJc w:val="left"/>
      <w:lvlText w:val="%1)"/>
      <w:numFmt w:val="lowerLetter"/>
      <w:start w:val="5"/>
    </w:lvl>
  </w:abstractNum>
  <w:abstractNum w:abstractNumId="20">
    <w:nsid w:val="440BADFC"/>
    <w:multiLevelType w:val="hybridMultilevel"/>
    <w:lvl w:ilvl="0">
      <w:lvlJc w:val="left"/>
      <w:lvlText w:val="%1)"/>
      <w:numFmt w:val="lowerLetter"/>
      <w:start w:val="9"/>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abstractNum>
  <w:abstractNum w:abstractNumId="23">
    <w:nsid w:val="77465F01"/>
    <w:multiLevelType w:val="hybridMultilevel"/>
    <w:lvl w:ilvl="0">
      <w:lvlJc w:val="left"/>
      <w:lvlText w:val="(%1)"/>
      <w:numFmt w:val="decimal"/>
      <w:start w:val="4"/>
    </w:lvl>
  </w:abstractNum>
  <w:abstractNum w:abstractNumId="24">
    <w:nsid w:val="7724C67E"/>
    <w:multiLevelType w:val="hybridMultilevel"/>
    <w:lvl w:ilvl="0">
      <w:lvlJc w:val="left"/>
      <w:lvlText w:val="(%1)"/>
      <w:numFmt w:val="lowerLetter"/>
      <w:start w:val="1"/>
    </w:lvl>
    <w:lvl w:ilvl="1">
      <w:lvlJc w:val="left"/>
      <w:lvlText w:val="(%2)"/>
      <w:numFmt w:val="lowerRoman"/>
      <w:start w:val="1"/>
    </w:lvl>
  </w:abstractNum>
  <w:abstractNum w:abstractNumId="25">
    <w:nsid w:val="5C482A97"/>
    <w:multiLevelType w:val="hybridMultilevel"/>
    <w:lvl w:ilvl="0">
      <w:lvlJc w:val="left"/>
      <w:lvlText w:val="(%1)"/>
      <w:numFmt w:val="lowerLetter"/>
      <w:start w:val="1"/>
    </w:lvl>
    <w:lvl w:ilvl="1">
      <w:lvlJc w:val="left"/>
      <w:lvlText w:val="(%2)"/>
      <w:numFmt w:val="lowerLetter"/>
      <w:start w:val="9"/>
    </w:lvl>
  </w:abstractNum>
  <w:abstractNum w:abstractNumId="26">
    <w:nsid w:val="2463B9EA"/>
    <w:multiLevelType w:val="hybridMultilevel"/>
    <w:lvl w:ilvl="0">
      <w:lvlJc w:val="left"/>
      <w:lvlText w:val="%1"/>
      <w:numFmt w:val="lowerLetter"/>
      <w:start w:val="1"/>
    </w:lvl>
    <w:lvl w:ilvl="1">
      <w:lvlJc w:val="left"/>
      <w:lvlText w:val="(%2)"/>
      <w:numFmt w:val="lowerRoman"/>
      <w:start w:val="2"/>
    </w:lvl>
  </w:abstractNum>
  <w:abstractNum w:abstractNumId="27">
    <w:nsid w:val="5E884ADC"/>
    <w:multiLevelType w:val="hybridMultilevel"/>
    <w:lvl w:ilvl="0">
      <w:lvlJc w:val="left"/>
      <w:lvlText w:val="(%1)"/>
      <w:numFmt w:val="lowerLetter"/>
      <w:start w:val="2"/>
    </w:lvl>
    <w:lvl w:ilvl="1">
      <w:lvlJc w:val="left"/>
      <w:lvlText w:val="(%2)"/>
      <w:numFmt w:val="lowerRoman"/>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4"/>
    </w:lvl>
  </w:abstractNum>
  <w:abstractNum w:abstractNumId="30">
    <w:nsid w:val="580BD78F"/>
    <w:multiLevelType w:val="hybridMultilevel"/>
    <w:lvl w:ilvl="0">
      <w:lvlJc w:val="left"/>
      <w:lvlText w:val="(%1)"/>
      <w:numFmt w:val="lowerLetter"/>
      <w:start w:val="6"/>
    </w:lvl>
  </w:abstractNum>
  <w:abstractNum w:abstractNumId="31">
    <w:nsid w:val="153EA438"/>
    <w:multiLevelType w:val="hybridMultilevel"/>
    <w:lvl w:ilvl="0">
      <w:lvlJc w:val="left"/>
      <w:lvlText w:val="(%1)"/>
      <w:numFmt w:val="lowerLetter"/>
      <w:start w:val="8"/>
    </w:lvl>
  </w:abstractNum>
  <w:abstractNum w:abstractNumId="32">
    <w:nsid w:val="3855585C"/>
    <w:multiLevelType w:val="hybridMultilevel"/>
    <w:lvl w:ilvl="0">
      <w:lvlJc w:val="left"/>
      <w:lvlText w:val="(%1)"/>
      <w:numFmt w:val="lowerLetter"/>
      <w:start w:val="9"/>
    </w:lvl>
  </w:abstractNum>
  <w:abstractNum w:abstractNumId="33">
    <w:nsid w:val="70A64E2A"/>
    <w:multiLevelType w:val="hybridMultilevel"/>
    <w:lvl w:ilvl="0">
      <w:lvlJc w:val="left"/>
      <w:lvlText w:val="(%1)"/>
      <w:numFmt w:val="lowerLetter"/>
      <w:start w:val="12"/>
    </w:lvl>
  </w:abstractNum>
  <w:abstractNum w:abstractNumId="34">
    <w:nsid w:val="6A2342EC"/>
    <w:multiLevelType w:val="hybridMultilevel"/>
    <w:lvl w:ilvl="0">
      <w:lvlJc w:val="left"/>
      <w:lvlText w:val="(%1)"/>
      <w:numFmt w:val="lowerLetter"/>
      <w:start w:val="15"/>
    </w:lvl>
  </w:abstractNum>
  <w:abstractNum w:abstractNumId="35">
    <w:nsid w:val="2A487CB0"/>
    <w:multiLevelType w:val="hybridMultilevel"/>
    <w:lvl w:ilvl="0">
      <w:lvlJc w:val="left"/>
      <w:lvlText w:val="(%1)"/>
      <w:numFmt w:val="lowerLetter"/>
      <w:start w:val="18"/>
    </w:lvl>
  </w:abstractNum>
  <w:abstractNum w:abstractNumId="36">
    <w:nsid w:val="1D4ED43B"/>
    <w:multiLevelType w:val="hybridMultilevel"/>
    <w:lvl w:ilvl="0">
      <w:lvlJc w:val="left"/>
      <w:lvlText w:val="(%1)"/>
      <w:numFmt w:val="lowerLetter"/>
      <w:start w:val="21"/>
    </w:lvl>
  </w:abstractNum>
  <w:abstractNum w:abstractNumId="37">
    <w:nsid w:val="725A06FB"/>
    <w:multiLevelType w:val="hybridMultilevel"/>
    <w:lvl w:ilvl="0">
      <w:lvlJc w:val="left"/>
      <w:lvlText w:val="(%1)"/>
      <w:numFmt w:val="lowerLetter"/>
      <w:start w:val="25"/>
    </w:lvl>
  </w:abstractNum>
  <w:abstractNum w:abstractNumId="38">
    <w:nsid w:val="2CD89A32"/>
    <w:multiLevelType w:val="hybridMultilevel"/>
    <w:lvl w:ilvl="0">
      <w:lvlJc w:val="left"/>
      <w:lvlText w:val="(%1)"/>
      <w:numFmt w:val="lowerLetter"/>
      <w:start w:val="27"/>
    </w:lvl>
  </w:abstractNum>
  <w:abstractNum w:abstractNumId="39">
    <w:nsid w:val="57E4CCAF"/>
    <w:multiLevelType w:val="hybridMultilevel"/>
    <w:lvl w:ilvl="0">
      <w:lvlJc w:val="left"/>
      <w:lvlText w:val="(%1)"/>
      <w:numFmt w:val="lowerLetter"/>
      <w:start w:val="28"/>
    </w:lvl>
  </w:abstractNum>
  <w:abstractNum w:abstractNumId="40">
    <w:nsid w:val="7A6D8D3C"/>
    <w:multiLevelType w:val="hybridMultilevel"/>
    <w:lvl w:ilvl="0">
      <w:lvlJc w:val="left"/>
      <w:lvlText w:val="(%1)"/>
      <w:numFmt w:val="lowerLetter"/>
      <w:start w:val="32"/>
    </w:lvl>
  </w:abstractNum>
  <w:abstractNum w:abstractNumId="41">
    <w:nsid w:val="4B588F54"/>
    <w:multiLevelType w:val="hybridMultilevel"/>
    <w:lvl w:ilvl="0">
      <w:lvlJc w:val="left"/>
      <w:lvlText w:val="(%1)"/>
      <w:numFmt w:val="lowerLetter"/>
      <w:start w:val="35"/>
    </w:lvl>
  </w:abstractNum>
  <w:abstractNum w:abstractNumId="42">
    <w:nsid w:val="542289EC"/>
    <w:multiLevelType w:val="hybridMultilevel"/>
    <w:lvl w:ilvl="0">
      <w:lvlJc w:val="left"/>
      <w:lvlText w:val="(%1)"/>
      <w:numFmt w:val="lowerLetter"/>
      <w:start w:val="39"/>
    </w:lvl>
  </w:abstractNum>
  <w:abstractNum w:abstractNumId="43">
    <w:nsid w:val="6DE91B18"/>
    <w:multiLevelType w:val="hybridMultilevel"/>
    <w:lvl w:ilvl="0">
      <w:lvlJc w:val="left"/>
      <w:lvlText w:val="%1"/>
      <w:numFmt w:val="lowerLetter"/>
      <w:start w:val="1"/>
    </w:lvl>
    <w:lvl w:ilvl="1">
      <w:lvlJc w:val="left"/>
      <w:lvlText w:val="(%2)"/>
      <w:numFmt w:val="lowerLetter"/>
      <w:start w:val="1"/>
    </w:lvl>
  </w:abstractNum>
  <w:abstractNum w:abstractNumId="44">
    <w:nsid w:val="38437FDB"/>
    <w:multiLevelType w:val="hybridMultilevel"/>
    <w:lvl w:ilvl="0">
      <w:lvlJc w:val="left"/>
      <w:lvlText w:val="(%1)"/>
      <w:numFmt w:val="lowerLetter"/>
      <w:start w:val="2"/>
    </w:lvl>
    <w:lvl w:ilvl="1">
      <w:lvlJc w:val="left"/>
      <w:lvlText w:val="%2"/>
      <w:numFmt w:val="lowerLetter"/>
      <w:start w:val="1"/>
    </w:lvl>
  </w:abstractNum>
  <w:abstractNum w:abstractNumId="45">
    <w:nsid w:val="7644A45C"/>
    <w:multiLevelType w:val="hybridMultilevel"/>
    <w:lvl w:ilvl="0">
      <w:lvlJc w:val="left"/>
      <w:lvlText w:val="(%1)"/>
      <w:numFmt w:val="lowerLetter"/>
      <w:start w:val="3"/>
    </w:lvl>
  </w:abstractNum>
  <w:abstractNum w:abstractNumId="46">
    <w:nsid w:val="32FFF902"/>
    <w:multiLevelType w:val="hybridMultilevel"/>
    <w:lvl w:ilvl="0">
      <w:lvlJc w:val="left"/>
      <w:lvlText w:val="(%1)"/>
      <w:numFmt w:val="lowerLetter"/>
      <w:start w:val="6"/>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lowerLetter"/>
      <w:start w:val="4"/>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14" Type="http://schemas.openxmlformats.org/officeDocument/2006/relationships/hyperlink" Target="http://www.sec.gov/Archives/edgar/data/883975/000149315219019746/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2019-12-31T07:18:09Z</dcterms:created>
  <dcterms:modified xsi:type="dcterms:W3CDTF">2019-12-31T07:18:09Z</dcterms:modified>
</cp:coreProperties>
</file>