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SEPTEMBER 26, 1997</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0" w:orient="portrait"/>
          <w:cols w:equalWidth="0" w:num="1">
            <w:col w:w="10219"/>
          </w:cols>
          <w:pgMar w:left="240" w:top="655" w:right="1440" w:bottom="0" w:gutter="0" w:footer="0" w:header="0"/>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04-3078125</w:t>
      </w:r>
    </w:p>
    <w:p>
      <w:pPr>
        <w:spacing w:after="0" w:line="200" w:lineRule="exact"/>
        <w:rPr>
          <w:sz w:val="24"/>
          <w:szCs w:val="24"/>
          <w:color w:val="auto"/>
        </w:rPr>
      </w:pPr>
    </w:p>
    <w:p>
      <w:pPr>
        <w:sectPr>
          <w:pgSz w:w="11900" w:h="16850" w:orient="portrait"/>
          <w:cols w:equalWidth="0" w:num="3">
            <w:col w:w="3300" w:space="720"/>
            <w:col w:w="2000" w:space="720"/>
            <w:col w:w="3479"/>
          </w:cols>
          <w:pgMar w:left="240" w:top="655" w:right="1440" w:bottom="0" w:gutter="0" w:footer="0" w:header="0"/>
          <w:type w:val="continuous"/>
        </w:sectPr>
      </w:pPr>
    </w:p>
    <w:p>
      <w:pPr>
        <w:spacing w:after="0" w:line="24" w:lineRule="exact"/>
        <w:rPr>
          <w:sz w:val="24"/>
          <w:szCs w:val="24"/>
          <w:color w:val="auto"/>
        </w:rPr>
      </w:pPr>
    </w:p>
    <w:p>
      <w:pPr>
        <w:ind w:left="120" w:hanging="104"/>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77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50" w:orient="portrait"/>
          <w:cols w:equalWidth="0" w:num="3">
            <w:col w:w="2960" w:space="320"/>
            <w:col w:w="2520" w:space="320"/>
            <w:col w:w="4099"/>
          </w:cols>
          <w:pgMar w:left="240" w:top="655" w:right="1440" w:bottom="0" w:gutter="0" w:footer="0" w:header="0"/>
          <w:type w:val="continuous"/>
        </w:sectPr>
      </w:pPr>
    </w:p>
    <w:p>
      <w:pPr>
        <w:spacing w:after="0" w:line="3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701 GEORGE WASHINGTON HIGHWAY</w:t>
      </w:r>
    </w:p>
    <w:p>
      <w:pPr>
        <w:jc w:val="center"/>
        <w:ind w:right="1679"/>
        <w:spacing w:after="0" w:line="238" w:lineRule="auto"/>
        <w:rPr>
          <w:sz w:val="20"/>
          <w:szCs w:val="20"/>
          <w:color w:val="auto"/>
        </w:rPr>
      </w:pPr>
      <w:r>
        <w:rPr>
          <w:rFonts w:ascii="Courier New" w:cs="Courier New" w:eastAsia="Courier New" w:hAnsi="Courier New"/>
          <w:sz w:val="18"/>
          <w:szCs w:val="18"/>
          <w:color w:val="auto"/>
        </w:rPr>
        <w:t>LINCOLN, RHODE ISLAND 02865</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(401) 288-1000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TWO RICHMOND SQUARE</w:t>
      </w:r>
    </w:p>
    <w:p>
      <w:pPr>
        <w:ind w:left="2640"/>
        <w:spacing w:after="0" w:line="238" w:lineRule="auto"/>
        <w:rPr>
          <w:sz w:val="20"/>
          <w:szCs w:val="20"/>
          <w:color w:val="auto"/>
        </w:rPr>
      </w:pPr>
      <w:r>
        <w:rPr>
          <w:rFonts w:ascii="Courier New" w:cs="Courier New" w:eastAsia="Courier New" w:hAnsi="Courier New"/>
          <w:sz w:val="18"/>
          <w:szCs w:val="18"/>
          <w:color w:val="auto"/>
        </w:rPr>
        <w:t>PROVIDENCE, RHODE ISLAND 02906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(Former name or address, if changed since last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PAGE 1 OF 9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INDEX ON PAGE 5.</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This report may contain certain forward-looking statements regarding, among other things, CTI's results of operations, the progress of CTI's product development and clinical programs, the need for, and timing of, additional capital and capital expenditures, partnering prospects, the need for additional intellectual property rights, effects of regulations, the need for additional</w:t>
      </w:r>
    </w:p>
    <w:p>
      <w:pPr>
        <w:sectPr>
          <w:pgSz w:w="11900" w:h="16850" w:orient="portrait"/>
          <w:cols w:equalWidth="0" w:num="1">
            <w:col w:w="10219"/>
          </w:cols>
          <w:pgMar w:left="240" w:top="655"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facilities and potential market opportunities. CTI's actual results may vary materially from those contained in such forward-looking statements because of risks to which CTI is subject such as risks of delays in research, development and clinical testing programs, obsolescence of CTI's technology, lack of available funding, competition from third parties, failure of CTI's collaborators to perform, failure to consummate proposed transactions, regulatory constraints, litigation and other risks to which CTI is subject. See "Cautionary Factors Relevant to Forward-Looking Statements" filed herewith as Exhibit 99 and incorporated herein by reference.</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OF ASSETS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September 26, 1997, CytoTherapeutics, Inc. ("CTI") announced the closing of the merger of StemCells, Inc. ("StemCells") and a wholly-owned subsidiary of CTI. Through the merger, CTI acquired StemCells in exchange for 1,580,000 newly issued shares of CTI's common stock, $.01 par value. Simultaneously with the acquisition of StemCells, Richard M. Rose, M.D., became President, Chief Executive Officer and a Director of CTI and Dr. Irving Weissman became a Director of CTI.</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Upon the consummation of the merger, CTI entered into consulting arrangements with the principal scientific founders of StemCells including, Dr. Weissman, of Stanford University, Fred Gage, Ph.D., of Salk Institute and David Anderson, of the California Institute of Technology and the Howard Hughes Medical Institute. Under the terms of the consulting arrangements, each of Drs. Weissman, Gage and Anderson will join CTI's Scientific Advisory Board with Dr. Weissman serving as the Chairman of the Scientific Advisory Board.</w:t>
      </w:r>
    </w:p>
    <w:p>
      <w:pPr>
        <w:spacing w:after="0" w:line="211"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To attract and retain Drs. Rose, Weissman, Gage and Anderson, and to move CTI's expanded stem cell program forward, CTI awarded these individuals options to acquire a total of approximately one million six hundred thousand shares of CTI common stock, at an exercise price of $5.25 per share; approximately 94,000 of these options are excercisable immediately, 1.1 million of these options vest and become exercisable only on the achievement of specified milestones related to CTI's stem cell development program, such as corporate partnering events, the initiation of clinical trials and regulatory filings and approvals; and the remaining 500,000 options vest over eight years.</w:t>
      </w:r>
    </w:p>
    <w:p>
      <w:pPr>
        <w:spacing w:after="0" w:line="184"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Conduct of the stem cells research following completion of the merger will be conducted pursuant to the provisions of an agreement between CTI and Drs. Weissman and Gage providing for a two year research plan. If the goals of the research plan are accomplished, the stem cells research will continue to be conducted under an extension of such Research Plan approved by a Research Committee consisting of two persons chosen by Drs. Gage and Weissman, two persons chosen by CTI and a fifth member appointed by Drs. Gage and Weissman, subject to the reasonable approval of CTI. Increases in stem cells research funding of not more than 25% a year approved by the Committee will be funded by CTI as long as the goals of the Research Plan are being met, provided, however, that CTI will retain the option of ceasing or reducing neural stem cell research even if all Research Plan goals are being met by accelerating the vesting of all</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still-achievable performance-based options and ceasing or reducing non-neural stem cell research even if all Plan goals are being met by affording the scientific founders the opportunity to continue development of the non-neural stem cell research by licensing the technology related to such research to the founders in exchange for a payment to CTI equal to all funding for such research, plus royalty payments.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Construction of CTI's new headquarters and research and development facility has recently been completed at a cost of approximately $7.5 million. CTI is currently in negotiations regarding the possible sale and leaseback of such facility. In addition, CTI is also involved in active discussions with a group of potential investors regarding a possible investment in CTI's 50% owned subsidiary, Modex Therapeutiques S.A., including the possible sale to such investors of a portion of CTI's current ownership interest. As currently anticipated, CTI would reduce its current ownership in Modex to a minority position, receive cash, be relieved of certain future funding and milestone obligations, expand the field of encapsulated products outside the central nervous system which are exclusively licensed to Modex and enter into arrangements to manufacture Modex products based on such licensed technology.</w:t>
      </w:r>
    </w:p>
    <w:p>
      <w:pPr>
        <w:spacing w:after="0" w:line="207" w:lineRule="exact"/>
        <w:rPr>
          <w:sz w:val="20"/>
          <w:szCs w:val="20"/>
          <w:color w:val="auto"/>
        </w:rPr>
      </w:pPr>
    </w:p>
    <w:p>
      <w:pPr>
        <w:jc w:val="both"/>
        <w:ind w:right="1779" w:firstLine="948"/>
        <w:spacing w:after="0" w:line="275" w:lineRule="auto"/>
        <w:rPr>
          <w:sz w:val="20"/>
          <w:szCs w:val="20"/>
          <w:color w:val="auto"/>
        </w:rPr>
      </w:pPr>
      <w:r>
        <w:rPr>
          <w:rFonts w:ascii="Courier New" w:cs="Courier New" w:eastAsia="Courier New" w:hAnsi="Courier New"/>
          <w:sz w:val="16"/>
          <w:szCs w:val="16"/>
          <w:color w:val="auto"/>
        </w:rPr>
        <w:t>The two proposed transactions described above are the subject of ongoing negotiations and no definitive agreements have been reached with respect to either transaction; there can be no assurance that either transaction will be completed or, if completed, will be completed on the terms described above.</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Exhibit 99</w:t>
      </w:r>
      <w:r>
        <w:rPr>
          <w:sz w:val="20"/>
          <w:szCs w:val="20"/>
          <w:color w:val="auto"/>
        </w:rPr>
        <w:tab/>
      </w:r>
      <w:r>
        <w:rPr>
          <w:rFonts w:ascii="Courier New" w:cs="Courier New" w:eastAsia="Courier New" w:hAnsi="Courier New"/>
          <w:sz w:val="16"/>
          <w:szCs w:val="16"/>
          <w:color w:val="auto"/>
        </w:rPr>
        <w:t>Cautionary Factors Relevant to Forward-Looking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3" w:name="page4"/>
    <w:bookmarkEnd w:id="3"/>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640"/>
        <w:spacing w:after="0"/>
        <w:tabs>
          <w:tab w:leader="none" w:pos="6620" w:val="left"/>
        </w:tabs>
        <w:rPr>
          <w:sz w:val="20"/>
          <w:szCs w:val="20"/>
          <w:color w:val="auto"/>
        </w:rPr>
      </w:pPr>
      <w:r>
        <w:rPr>
          <w:rFonts w:ascii="Courier New" w:cs="Courier New" w:eastAsia="Courier New" w:hAnsi="Courier New"/>
          <w:sz w:val="18"/>
          <w:szCs w:val="18"/>
          <w:color w:val="auto"/>
        </w:rPr>
        <w:t>CYTOTHERAPEUTICS,</w:t>
        <w:tab/>
        <w:t>INC.</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Frederic A. Eustis III</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 1997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4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Index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319"/>
          </w:cols>
          <w:pgMar w:left="240" w:top="1325"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560"/>
        <w:spacing w:after="0" w:line="235" w:lineRule="auto"/>
        <w:rPr>
          <w:sz w:val="20"/>
          <w:szCs w:val="20"/>
          <w:color w:val="auto"/>
        </w:rPr>
      </w:pPr>
      <w:r>
        <w:rPr>
          <w:rFonts w:ascii="Courier New" w:cs="Courier New" w:eastAsia="Courier New" w:hAnsi="Courier New"/>
          <w:sz w:val="18"/>
          <w:szCs w:val="18"/>
          <w:color w:val="auto"/>
        </w:rPr>
        <w:t>Cautionary Factors Relevant to Forward-Looking Statements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pacing w:after="0" w:line="418" w:lineRule="exact"/>
        <w:rPr>
          <w:sz w:val="20"/>
          <w:szCs w:val="20"/>
          <w:color w:val="auto"/>
        </w:rPr>
      </w:pPr>
    </w:p>
    <w:p>
      <w:pPr>
        <w:sectPr>
          <w:pgSz w:w="11900" w:h="16838" w:orient="portrait"/>
          <w:cols w:equalWidth="0" w:num="3">
            <w:col w:w="1180" w:space="720"/>
            <w:col w:w="5400" w:space="720"/>
            <w:col w:w="2199"/>
          </w:cols>
          <w:pgMar w:left="240" w:top="13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325"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CAUTIONARY FACTORS RELEVANT TO FORWARD-LOOKING STATEMENTS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by the Company on the basis of management's current expectations. The business in which the Company is engaged is rapidly changing, extremely competitive and involves a high degree of risk, and accuracy with respect to forward-looking projections is difficult. Cross-references in this Exhibit refer to the sections of the Company's Annual Report on Form 10-K.</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212"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10"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may be precluded from development by new regulations, be adversely affected by government price controls or limitations on reimbursement, be precluded from commercialization by proprietary rights of third parties or be subject to significant competition from other products. There can be no assurance that the Company will be able to demonstrate, as required, that its implants, on a consistent basis and on a commercial scale, among other things:</w:t>
      </w:r>
    </w:p>
    <w:p>
      <w:pPr>
        <w:spacing w:after="0" w:line="188"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successfully  isolate transplanted cells from the recipient's immune system;</w:t>
      </w:r>
    </w:p>
    <w:p>
      <w:pPr>
        <w:spacing w:after="0" w:line="21" w:lineRule="exact"/>
        <w:rPr>
          <w:rFonts w:ascii="Courier New" w:cs="Courier New" w:eastAsia="Courier New" w:hAnsi="Courier New"/>
          <w:sz w:val="16"/>
          <w:szCs w:val="16"/>
          <w:color w:val="auto"/>
        </w:rPr>
      </w:pPr>
    </w:p>
    <w:p>
      <w:pPr>
        <w:jc w:val="both"/>
        <w:ind w:right="177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through the membrane into the patient in controlled doses for extended periods; and (v) are sufficiently durable for the intended indication.</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w:t>
      </w:r>
    </w:p>
    <w:p>
      <w:pPr>
        <w:sectPr>
          <w:pgSz w:w="11900" w:h="16838" w:orient="portrait"/>
          <w:cols w:equalWidth="0" w:num="1">
            <w:col w:w="10219"/>
          </w:cols>
          <w:pgMar w:left="240" w:top="946" w:right="1440" w:bottom="0" w:gutter="0" w:footer="0" w:header="0"/>
        </w:sectPr>
      </w:pPr>
    </w:p>
    <w:bookmarkStart w:id="6" w:name="page7"/>
    <w:bookmarkEnd w:id="6"/>
    <w:p>
      <w:pPr>
        <w:jc w:val="both"/>
        <w:ind w:right="1779"/>
        <w:spacing w:after="0" w:line="237" w:lineRule="auto"/>
        <w:rPr>
          <w:sz w:val="20"/>
          <w:szCs w:val="20"/>
          <w:color w:val="auto"/>
        </w:rPr>
      </w:pPr>
      <w:r>
        <w:rPr>
          <w:rFonts w:ascii="Courier New" w:cs="Courier New" w:eastAsia="Courier New" w:hAnsi="Courier New"/>
          <w:sz w:val="18"/>
          <w:szCs w:val="18"/>
          <w:color w:val="auto"/>
        </w:rPr>
        <w:t>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time-consuming approval requirements for the Company's products, in the dilution of FDA resources available to review the Company's products or in other unpredictable consequences. See "Government Regulation."</w:t>
      </w:r>
    </w:p>
    <w:p>
      <w:pPr>
        <w:spacing w:after="0" w:line="21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There has been increasing regulatory concern about the risks of cell transplantation. Concern has focused on cells derived from cows (such as are used in the Company's pain program) and cells from primates and pigs. The United Kingdom has adopted a moratorium on xenotransplantation pending further research and discussion and the EC Commission has introduced a ban on the use of "high-risk material" from cattle and sheep in the Member States of the European Union in the manufacture of pharmaceuticals (this ban would apparently not include cells used in the Company's pain program). In addition, the FDA has recently proposed guidelines which impose significant constraints on the conduct of clinical trials utilizing xenotransplantation. Furthermore, the FDA has published a "Proposed Approach to Regulation of Cellular and Tissue-Based Products" which relates to use of human cells. The Company cannot presently determine the effects of such actions nor what other actions may be taken. Restrictions on the testing or use of cells (whether nonhuman or human) as human therapeutics could materially adversely affect the Company's product development programs and the Company itself. See "Government Regulation."</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terminates its agreement with the Company, the development or commercialization of the Company's product candidate or research program under such collaborative agreement may be adversely affected.</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EXISTENCE OF THIRD PARTY PATENTS AND PROPRIETARY RIGHTS; NEED TO OBTAIN LICENSES</w:t>
      </w:r>
    </w:p>
    <w:p>
      <w:pPr>
        <w:spacing w:after="0" w:line="21" w:lineRule="exact"/>
        <w:rPr>
          <w:sz w:val="20"/>
          <w:szCs w:val="20"/>
          <w:color w:val="auto"/>
        </w:rPr>
      </w:pPr>
    </w:p>
    <w:p>
      <w:pPr>
        <w:ind w:right="15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which might be allowed. The Company is aware of a number of third-party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7" w:name="page8"/>
    <w:bookmarkEnd w:id="7"/>
    <w:p>
      <w:pPr>
        <w:jc w:val="both"/>
        <w:ind w:right="1779"/>
        <w:spacing w:after="0" w:line="269" w:lineRule="auto"/>
        <w:rPr>
          <w:sz w:val="20"/>
          <w:szCs w:val="20"/>
          <w:color w:val="auto"/>
        </w:rPr>
      </w:pPr>
      <w:r>
        <w:rPr>
          <w:rFonts w:ascii="Courier New" w:cs="Courier New" w:eastAsia="Courier New" w:hAnsi="Courier New"/>
          <w:sz w:val="16"/>
          <w:szCs w:val="16"/>
          <w:color w:val="auto"/>
        </w:rPr>
        <w:t>patent applications and patents relating to cell encapsulation or claiming use of genetically modified cells to treat disease, disorder or injury. In particular, the Company is aware of a third-party U.S. patent which relates to the use of cells for alleviating chronic pain in humans and of two issued U.S. patents claiming certain methods for treating defective, diseased or damaged cells in the mammalian 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products.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w:t>
      </w:r>
    </w:p>
    <w:p>
      <w:pPr>
        <w:spacing w:after="0" w:line="394"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consistency or in the quantities necessary to make a commercially viable product, if at all.</w:t>
      </w:r>
    </w:p>
    <w:p>
      <w:pPr>
        <w:spacing w:after="0" w:line="214"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8" w:name="page9"/>
    <w:bookmarkEnd w:id="8"/>
    <w:p>
      <w:pPr>
        <w:ind w:right="1779"/>
        <w:spacing w:after="0" w:line="238" w:lineRule="auto"/>
        <w:rPr>
          <w:sz w:val="20"/>
          <w:szCs w:val="20"/>
          <w:color w:val="auto"/>
        </w:rPr>
      </w:pPr>
      <w:r>
        <w:rPr>
          <w:rFonts w:ascii="Courier New" w:cs="Courier New" w:eastAsia="Courier New" w:hAnsi="Courier New"/>
          <w:sz w:val="18"/>
          <w:szCs w:val="18"/>
          <w:color w:val="auto"/>
        </w:rPr>
        <w:t>DEPENDENCE ON KEY PERSONNEL -- The Company is highly dependent on the principal members of its management and scientific staff and certain of its outside consultants. Vacancies have occurred and are likely to occur from time to time among the Company's senior management and scientific staff. Loss of the services of any of the Company's key employees or consultants or the continued existence of such vacancies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healthcare companies, universities and research institutions for experienced personnel.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REIMBURSEMENT AND HEALTHCARE REFORM -- In both domestic and foreign markets, sales of the Company's potential products will depend in part upon the availability and amounts of reimbursement from third-party healthcare payor organizations, including government agencies, private healthcare insurers and other healthcare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Healthcare Cost Control."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sectPr>
      <w:pgSz w:w="11900" w:h="16838" w:orient="portrait"/>
      <w:cols w:equalWidth="0" w:num="1">
        <w:col w:w="10219"/>
      </w:cols>
      <w:pgMar w:left="2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2019-12-13T22:00:11Z</dcterms:created>
  <dcterms:modified xsi:type="dcterms:W3CDTF">2019-12-13T22:00:11Z</dcterms:modified>
</cp:coreProperties>
</file>