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333-275634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142875</wp:posOffset>
            </wp:positionV>
            <wp:extent cx="3214370" cy="1174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14370" cy="1174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1,566,669 Shares of Common Stock</w:t>
      </w:r>
    </w:p>
    <w:p>
      <w:pPr>
        <w:spacing w:after="0" w:line="229"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offering 1,566,669 shares of our common stock, par value $0.01 per share (“common stock”) to institutional investors at an offering price of $1.50 per share, pursuant to this prospectus supplement and the accompanying prospectus.</w:t>
      </w:r>
    </w:p>
    <w:p>
      <w:pPr>
        <w:spacing w:after="0" w:line="162"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 concurrent private placement, we are also selling to the same institutional investors of our shares of common stock, unregistered series F preferred investment options to purchase up to 3,133,338 shares of our common stock (the “series F preferred investment options”). Each series F preferred investment option will be exercisable for one share of common stock at an exercise price of $1.50 commencing on the date of issuance and will expire two years from the initial exercise date. The series F preferred investment options and the shares of common stock issuable upon the exercise of such series F preferred investment options are not being registered under the Securities Act of 1933, as amended (the “Securities Act”), are not being offered pursuant to this prospectus supplement and the accompanying prospectus and are being offered pursuant to the exemption provided in Section 4(a)(2) under the Securities Act and Rule 506(b) promulgated thereunder. None of the series F preferred investment options issued in the concurrent private placement are or will be listed for trading on any national securities exchange.</w:t>
      </w:r>
    </w:p>
    <w:p>
      <w:pPr>
        <w:spacing w:after="0" w:line="192"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and trades on The Nasdaq Capital Market under the symbol “MBOT.” The last sale price of our shares of common stock on May 31, 2024 was $1.00 per share.</w:t>
      </w:r>
    </w:p>
    <w:p>
      <w:pPr>
        <w:spacing w:after="0" w:line="162"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supplement, the aggregate market value of our outstanding common stock held by non-affiliates, computed by reference to the price at which our common stock was last sold on The Nasdaq Capital Market on April 4, 2024, which was $1.26 per share, was approximately $17.7 million, based on 14,398,964 shares of our outstanding common stock as of the date of this prospectus supplement, of which 14,020,089 shares were held by non-affiliates. Pursuant to General Instruction I.B.6 of Form S-3, in no event will we sell securities in a public primary offering with a value exceeding one-third of our public float in any 12-month period so long as our public float remains below $75.0 million. During the 12 calendar months prior to and including the date of this prospectus supplement (excluding this offering), we have sold $3,530,012 in securities pursuant to General Instruction I.B.6 of Form S-3.</w:t>
      </w:r>
    </w:p>
    <w:p>
      <w:pPr>
        <w:spacing w:after="0" w:line="189"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engaged H.C. Wainwright &amp; Co., LLC, or Wainwright or the placement agent, to act as our exclusive placement agent for this offering. The placement agent has agreed to use its “reasonable best efforts” to arrange for the sale of shares of our common stock offered by this prospectus supplement and the accompanying base prospectus, but the placement agent has no obligation to purchase or sell any of such securities or to arrange for the purchase or sale of any specific number or dollar amount of such securities. There is no required minimum number of securities that must be sold as a condition to completion of this offering. Because there is no minimum offering amount required as a condition to closing this offering, the actual offering amount, placement agent fees, and proceeds to us, if any, are not presently determinable and may be substantially less than the total maximum offering amounts set forth below. We have not arranged to place the funds from investors in an escrow, trust or similar account. We have agreed to pay the placement agent the fees set forth in the table below in connection with this offering, which assumes that we sell all of the shares of common stock we are offering hereby.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300" w:type="dxa"/>
        <w:tblCellMar>
          <w:top w:w="0" w:type="dxa"/>
          <w:left w:w="0" w:type="dxa"/>
          <w:bottom w:w="0" w:type="dxa"/>
          <w:right w:w="0" w:type="dxa"/>
        </w:tblCellMar>
      </w:tblPr>
      <w:tr>
        <w:trPr>
          <w:trHeight w:val="245"/>
        </w:trPr>
        <w:tc>
          <w:tcPr>
            <w:tcW w:w="66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360" w:type="dxa"/>
            <w:vAlign w:val="bottom"/>
            <w:tcBorders>
              <w:top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2,350,003.50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agent’s fees (1)</w:t>
            </w: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0.105</w:t>
            </w:r>
          </w:p>
        </w:tc>
        <w:tc>
          <w:tcPr>
            <w:tcW w:w="5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164,500.25</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 (2)</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1.395</w:t>
            </w:r>
          </w:p>
        </w:tc>
        <w:tc>
          <w:tcPr>
            <w:tcW w:w="5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2,185,503.25</w:t>
            </w:r>
          </w:p>
        </w:tc>
      </w:tr>
    </w:tbl>
    <w:p>
      <w:pPr>
        <w:spacing w:after="0" w:line="198" w:lineRule="exact"/>
        <w:rPr>
          <w:sz w:val="20"/>
          <w:szCs w:val="20"/>
          <w:color w:val="auto"/>
        </w:rPr>
      </w:pPr>
    </w:p>
    <w:p>
      <w:pPr>
        <w:jc w:val="both"/>
        <w:ind w:left="340" w:hanging="332"/>
        <w:spacing w:after="0" w:line="25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pay the placement agent a cash fee of 7.0% of the aggregate gross proceeds raised in the offering. In addition, we have agreed to pay the placement agent a management fee equal to 1.0% of the gross proceeds raised in this offering, to reimburse the placement agent for certain of its expenses and to issue warrants to purchase shares of common stock to the placement agent or its designees (the “placement agent warrants”). Neither the placement agent warrants nor the shares of our common stock issuable upon exercise of the placement agent warrants are being registered hereby. See “Plan of Distribution” beginning on page S-14 of this prospectus supplement for more information.</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proceeds from the exercise of the placement agent warrants to be issued to the placement agent in cash, if any.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Delivery of the shares of common stock offered hereby is expected to be made on or about June 4, 2024, subject to satisfaction of customary closing conditions.</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making any investment decision, you should carefully review and consider all the information in this prospectus supplement, the accompanying base prospectus and the documents incorporated by reference herein and therein, including the risks and uncertainties described under “Risk Factors” beginning on page S-8 of this prospectus supplement and the risk factors incorporated by reference into this prospectus supplement and the accompanying base prospectus.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shares or determined if this prospectus supplement or the accompanying base prospectus is truthful or complete. Any representation to the contrary is a criminal offense.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H.C. Wainwright &amp; Co.</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June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4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9"/>
        </w:trPr>
        <w:tc>
          <w:tcPr>
            <w:tcW w:w="10600" w:type="dxa"/>
            <w:vAlign w:val="bottom"/>
            <w:tcBorders>
              <w:top w:val="single" w:sz="8" w:color="CCEEFF"/>
            </w:tcBorders>
            <w:gridSpan w:val="3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30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SECURITIES WE ARE OFFERING</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PRIVATE PLACEMENT TRANSACTION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440" w:type="dxa"/>
            <w:vAlign w:val="bottom"/>
            <w:tcBorders>
              <w:top w:val="single" w:sz="8" w:color="CCEEFF"/>
            </w:tcBorders>
            <w:gridSpan w:val="14"/>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25"/>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Pages</w:t>
            </w:r>
          </w:p>
        </w:tc>
        <w:tc>
          <w:tcPr>
            <w:tcW w:w="0" w:type="dxa"/>
            <w:vAlign w:val="bottom"/>
          </w:tcPr>
          <w:p>
            <w:pPr>
              <w:spacing w:after="0"/>
              <w:rPr>
                <w:sz w:val="1"/>
                <w:szCs w:val="1"/>
                <w:color w:val="auto"/>
              </w:rPr>
            </w:pPr>
          </w:p>
        </w:tc>
      </w:tr>
      <w:tr>
        <w:trPr>
          <w:trHeight w:val="216"/>
        </w:trPr>
        <w:tc>
          <w:tcPr>
            <w:tcW w:w="10600" w:type="dxa"/>
            <w:vAlign w:val="bottom"/>
            <w:tcBorders>
              <w:top w:val="single" w:sz="8" w:color="CCEEFF"/>
            </w:tcBorders>
            <w:gridSpan w:val="3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PROSPECTUS SUMMARY</w:t>
            </w:r>
          </w:p>
        </w:tc>
        <w:tc>
          <w:tcPr>
            <w:tcW w:w="840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tcBorders>
              <w:bottom w:val="single" w:sz="8" w:color="0000EE"/>
            </w:tcBorders>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CAUTIONARY NOTE REGARDING FORWARD-LOOKING STATEMENTS</w:t>
            </w:r>
          </w:p>
        </w:tc>
        <w:tc>
          <w:tcPr>
            <w:tcW w:w="448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COMMON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PREFERRED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6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WARRANTS</w:t>
            </w:r>
          </w:p>
        </w:tc>
        <w:tc>
          <w:tcPr>
            <w:tcW w:w="724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2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RIGHTS</w:t>
            </w:r>
          </w:p>
        </w:tc>
        <w:tc>
          <w:tcPr>
            <w:tcW w:w="738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1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846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EXPERTS</w:t>
            </w:r>
          </w:p>
        </w:tc>
        <w:tc>
          <w:tcPr>
            <w:tcW w:w="9760" w:type="dxa"/>
            <w:vAlign w:val="bottom"/>
            <w:tcBorders>
              <w:bottom w:val="single" w:sz="8" w:color="CCEEFF"/>
            </w:tcBorders>
            <w:gridSpan w:val="3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and the accompanying prospectus. Neither we nor the placement agent have authorized anyone to provide you with different information. If anyone provides you with different or inconsistent information, you should not rely on it. This prospectus supplement and the accompanying prospectus do not constitute an offer to sell, or a solicitation of an offer to purchase, the securities offered by this prospectus supplement and the accompanying prospectus in any jurisdiction where it is unlawful to make such offer or solicitation. You should assume that the information contained in this prospectus supplement or the accompanying prospectus, or any document incorporated by reference in this prospectus supplement or the accompanying prospectus, is accurate only as of the date of those respective documents. Neither the delivery of this prospectus supplement nor any distribution of securities pursuant to this prospectus supplement shall, under any circumstances, create any implication that there has been no change in the information set forth or incorporated by reference into this prospectus supplement or in our affairs since the date of this prospectus supplement. Our business, financial condition, results of operations and prospects may have changed since that date.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4830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7875" cy="4830445"/>
                    </a:xfrm>
                    <a:prstGeom prst="rect">
                      <a:avLst/>
                    </a:prstGeom>
                    <a:noFill/>
                  </pic:spPr>
                </pic:pic>
              </a:graphicData>
            </a:graphic>
          </wp:anchor>
        </w:drawing>
        <w:t>ABOUT THIS PROSPECTUS SUPPLEMENT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registration statement on Form S-3 (File No. 333-275634) utilizing a shelf registration process relating to the securities described in this prospectus supplement was initially filed with the Securities and Exchange Commission, or the SEC, on November 17, 2023 and was declared effective on December 4, 2023.</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securities.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It is also important for you to read and consider all information contained in this prospectus supplement and the accompanying prospectus, including the documents we have referred you to in the section entitled “Where You Can Find More Information” below in this prospectus supplement.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You should assume that the information contained in this prospectus supplement, the accompanying prospectus and the documents incorporated by reference is accurate only as of their respective dates.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not, and the placement agent has not, authorized any person to provide you with any information or to make any representation other than as contained in this prospectus supplement or in the accompanying prospectus and the information incorporated by reference herein and therein. We and the placement agent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of the common stock in certain jurisdictions may be restricted by law. We are not, and the placement agent is not,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supplement and the accompanying prospectus the terms, the terms “Microbot,” the “Company,” “we,” “our” or “us” in this prospectus supplement refer to Microbot Medical Inc. and its wholly-owned subsidiaries.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27"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476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in this prospectus supplement include forward-looking statements within the meaning of Section 27A of the Securities Act of 1933, as amended, or the Securities Act, and Section 21E of the Securities Exchange Act of 1934, as amended, or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our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supplement, in the documents incorporated by reference in this prospectus supplement,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supplement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27" w:right="4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461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746188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base prospectus, including the documents incorporated by reference, which are described under “Where You Can Find Additional Information” and “Incorporation of Certain Information by Reference” in this prospectus supplement. You should also carefully consider the matters discussed in the section in this prospectus supplement entitled “Risk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 pre-clinical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Concurrent Private Placement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 concurrent private placement, we are also issuing to the purchasers of our shares of common stock in this offering, series F preferred investment options to purchase up to 3,133,338 shares of our common stock. Each series F preferred investment option will be exercisable for one share of common stock at an exercise price of $1.50 commencing on the date of issuance and will expire two years from the initial exercise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to Proceed with Pivotal Human Clinical Trial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June 3, 2024, we announced that we have received the U.S. Food and Drug Administration’s approval to proceed with our pivotal human clinical trial as part of our Investigational Device Exemption (“IDE”) application for our LIBERTY® Endovascular Robotic Surgical System. The study will be conducted in the U.S., and we have signed a clinical trial service agreement with a leading academic medical center. We are also in the process of engaging additional leading centers to participate in the trial. In parallel to commencing the pivotal human clinical trial, we are completing our biocompatibility tests as required by its IDE application. As of the date of this prospectus, we are continuing our interaction with the FDA regarding our IDE submission process.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which Shares represent the whole number of restricted shares of Company common stock calculated pursuant to the following formula: $1,054,000/[closing price of Company common stock on the Effective Date * 0.825]. Additionally, the Plaintiffs and the Company each agreed to fully release the other from all claims arising out of the Financing, the SPA and/or the allegations and claims asserted in the Lawsuit, subject to customary carve-outs.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27" w:right="49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613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6613525"/>
                    </a:xfrm>
                    <a:prstGeom prst="rect">
                      <a:avLst/>
                    </a:prstGeom>
                    <a:noFill/>
                  </pic:spPr>
                </pic:pic>
              </a:graphicData>
            </a:graphic>
          </wp:anchor>
        </w:drawing>
        <w:t>In February 2024, the Plaintiffs filed a stipulation discontinuing the Lawsuit with prejudice.</w:t>
      </w:r>
    </w:p>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also, pursuant to a Registration Rights Agreement (the “Registration Rights Agreement”), filed a registration statement on Form S-1 covering the resale of the Shares (the “Resale Registration Statement”). We shall be required to make cash payments to the Plaintiffs in the event we fail to keep the Resale Registration Statement effective pursuant to the terms of the Registration Rights Agreement, and if we fail to remove the restrictions on the Shares pursuant to the terms of the Settlement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options (the “Inducement Investment Options”) to purchase up to an aggregate of 1,685,682 shares of the Company’s common stock at an exercise price of $1.50 per share. The closings of the transactions contemplated by the Inducement Letter occurred on January 3, 2024. The Inducement Investment Options are immediately exercisable from the date of issuance until five and one-half (5.5) years following the date of issuance. No other changes to the Existing Investment Options were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 and related matters, including:</w:t>
      </w:r>
    </w:p>
    <w:p>
      <w:pPr>
        <w:spacing w:after="0" w:line="225" w:lineRule="exact"/>
        <w:rPr>
          <w:sz w:val="20"/>
          <w:szCs w:val="20"/>
          <w:color w:val="auto"/>
        </w:rPr>
      </w:pPr>
    </w:p>
    <w:p>
      <w:pPr>
        <w:ind w:left="660" w:right="20" w:hanging="331"/>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 and related activities could adversely effect its anticipated milestones and its Israel-based activities to support future clinical and regulatory milestones, including our ability to import materials that are required to construct the Company’s devices and to ship them outside of Israel. As of the date of this prospectus, we have determined that there have not been any materially adverse effects on its business or operations, but it continues to monitor the situation, as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including our Annual Report on Form 10-K for the year ended December 31, 2023 as described under the caption “Incorporation of Documents by Reference” on page S-17 of this prospectus supplement.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00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4007485"/>
                    </a:xfrm>
                    <a:prstGeom prst="rect">
                      <a:avLst/>
                    </a:prstGeom>
                    <a:noFill/>
                  </pic:spPr>
                </pic:pic>
              </a:graphicData>
            </a:graphic>
          </wp:anchor>
        </w:drawing>
        <w:t>Corporate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 address is 288 Grove Street, Suite 388, Braintree, MA 02184. Microbot also has an executive office at 6 Hayozma Street, Yoqneam, P.O.B. 242, Israel 2069204. Our telephone number is (781) 875-3605. We maintain an Internet website at </w:t>
      </w:r>
      <w:r>
        <w:rPr>
          <w:rFonts w:ascii="Times New Roman" w:cs="Times New Roman" w:eastAsia="Times New Roman" w:hAnsi="Times New Roman"/>
          <w:sz w:val="18"/>
          <w:szCs w:val="18"/>
          <w:i w:val="1"/>
          <w:iCs w:val="1"/>
          <w:color w:val="auto"/>
        </w:rPr>
        <w:t>www.microbotmedical.com</w:t>
      </w:r>
      <w:r>
        <w:rPr>
          <w:rFonts w:ascii="Times New Roman" w:cs="Times New Roman" w:eastAsia="Times New Roman" w:hAnsi="Times New Roman"/>
          <w:sz w:val="18"/>
          <w:szCs w:val="18"/>
          <w:color w:val="auto"/>
        </w:rPr>
        <w:t>. The information contained on, connected to or that can be accessed via our website is not part of this prospectus supplement. We have included our website address in this prospectus supplement as an inactive textual reference only and not as an active hyperlink.</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and have elected to take advantage of certain of the scaled disclosures available to smaller reporting companies, including certain of the reduced disclosure obligations in the registration statement of which this prospectus supplement is a part.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27" w:right="49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913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6913245"/>
                    </a:xfrm>
                    <a:prstGeom prst="rect">
                      <a:avLst/>
                    </a:prstGeom>
                    <a:noFill/>
                  </pic:spPr>
                </pic:pic>
              </a:graphicData>
            </a:graphic>
          </wp:anchor>
        </w:drawing>
        <w:t>THE OFFERING</w:t>
      </w:r>
    </w:p>
    <w:p>
      <w:pPr>
        <w:sectPr>
          <w:pgSz w:w="11900" w:h="16838" w:orient="portrait"/>
          <w:cols w:equalWidth="0" w:num="1">
            <w:col w:w="10920"/>
          </w:cols>
          <w:pgMar w:left="480" w:top="927" w:right="499" w:bottom="1440" w:gutter="0" w:footer="0" w:header="0"/>
        </w:sectPr>
      </w:pP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Common Stock Offered in This Offering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1,566,669 shares of our common stock, par value $0.01 per share</w:t>
      </w:r>
    </w:p>
    <w:p>
      <w:pPr>
        <w:spacing w:after="0" w:line="441" w:lineRule="exact"/>
        <w:rPr>
          <w:sz w:val="20"/>
          <w:szCs w:val="20"/>
          <w:color w:val="auto"/>
        </w:rPr>
      </w:pPr>
    </w:p>
    <w:p>
      <w:pPr>
        <w:sectPr>
          <w:pgSz w:w="11900" w:h="16838" w:orient="portrait"/>
          <w:cols w:equalWidth="0" w:num="2">
            <w:col w:w="1920" w:space="480"/>
            <w:col w:w="8520"/>
          </w:cols>
          <w:pgMar w:left="480" w:top="927" w:right="49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Common Stock Outstanding Before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14,398,964 shares.</w:t>
      </w:r>
    </w:p>
    <w:p>
      <w:pPr>
        <w:spacing w:after="0" w:line="441" w:lineRule="exact"/>
        <w:rPr>
          <w:sz w:val="20"/>
          <w:szCs w:val="20"/>
          <w:color w:val="auto"/>
        </w:rPr>
      </w:pPr>
    </w:p>
    <w:p>
      <w:pPr>
        <w:sectPr>
          <w:pgSz w:w="11900" w:h="16838" w:orient="portrait"/>
          <w:cols w:equalWidth="0" w:num="2">
            <w:col w:w="2060" w:space="340"/>
            <w:col w:w="8520"/>
          </w:cols>
          <w:pgMar w:left="480" w:top="927" w:right="499" w:bottom="1440" w:gutter="0" w:footer="0" w:header="0"/>
          <w:type w:val="continuous"/>
        </w:sectPr>
      </w:pPr>
    </w:p>
    <w:p>
      <w:pPr>
        <w:spacing w:after="0" w:line="266" w:lineRule="auto"/>
        <w:rPr>
          <w:sz w:val="20"/>
          <w:szCs w:val="20"/>
          <w:color w:val="auto"/>
        </w:rPr>
      </w:pPr>
      <w:r>
        <w:rPr>
          <w:rFonts w:ascii="Times New Roman" w:cs="Times New Roman" w:eastAsia="Times New Roman" w:hAnsi="Times New Roman"/>
          <w:sz w:val="18"/>
          <w:szCs w:val="18"/>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15,965,633 shares.</w:t>
      </w:r>
    </w:p>
    <w:p>
      <w:pPr>
        <w:spacing w:after="0" w:line="657" w:lineRule="exact"/>
        <w:rPr>
          <w:sz w:val="20"/>
          <w:szCs w:val="20"/>
          <w:color w:val="auto"/>
        </w:rPr>
      </w:pPr>
    </w:p>
    <w:p>
      <w:pPr>
        <w:sectPr>
          <w:pgSz w:w="11900" w:h="16838" w:orient="portrait"/>
          <w:cols w:equalWidth="0" w:num="2">
            <w:col w:w="1680" w:space="720"/>
            <w:col w:w="8520"/>
          </w:cols>
          <w:pgMar w:left="480" w:top="92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We estimate the net proceeds from this offering will be approximately $2.03 million after deducting estimated offering expenses payable by us. We currently intend to use the net proceeds from this offering for the continued</w:t>
      </w:r>
    </w:p>
    <w:p>
      <w:pPr>
        <w:spacing w:after="0" w:line="1" w:lineRule="exact"/>
        <w:rPr>
          <w:sz w:val="20"/>
          <w:szCs w:val="20"/>
          <w:color w:val="auto"/>
        </w:rPr>
      </w:pPr>
    </w:p>
    <w:p>
      <w:pPr>
        <w:sectPr>
          <w:pgSz w:w="11900" w:h="16838" w:orient="portrait"/>
          <w:cols w:equalWidth="0" w:num="2">
            <w:col w:w="1680" w:space="720"/>
            <w:col w:w="8520"/>
          </w:cols>
          <w:pgMar w:left="480" w:top="927" w:right="499" w:bottom="1440" w:gutter="0" w:footer="0" w:header="0"/>
          <w:type w:val="continuous"/>
        </w:sectPr>
      </w:pPr>
    </w:p>
    <w:p>
      <w:pPr>
        <w:jc w:val="both"/>
        <w:ind w:left="2400"/>
        <w:spacing w:after="0" w:line="258" w:lineRule="auto"/>
        <w:rPr>
          <w:sz w:val="20"/>
          <w:szCs w:val="20"/>
          <w:color w:val="auto"/>
        </w:rPr>
      </w:pPr>
      <w:r>
        <w:rPr>
          <w:rFonts w:ascii="Times New Roman" w:cs="Times New Roman" w:eastAsia="Times New Roman" w:hAnsi="Times New Roman"/>
          <w:sz w:val="18"/>
          <w:szCs w:val="18"/>
          <w:color w:val="auto"/>
        </w:rPr>
        <w:t>development, commercialization and regulatory activities for the LIBERTY</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Robotic System, expansion and development of additional applications derived from our existing intellectual property portfolio,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 See “Use of Proceeds” on page S-10.</w:t>
      </w:r>
    </w:p>
    <w:p>
      <w:pPr>
        <w:sectPr>
          <w:pgSz w:w="11900" w:h="16838" w:orient="portrait"/>
          <w:cols w:equalWidth="0" w:num="1">
            <w:col w:w="10920"/>
          </w:cols>
          <w:pgMar w:left="480" w:top="927" w:right="49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you decide to invest in our common stock, you should carefully read this prospectus supplement in its entirety and carefully consider the risks and uncertainties described in “Risk Factors” beginning on page S-8 of this prospectus supplement, beginning on page 6 of the as such risk factors may be amended, updated or modified periodically in our reports filed with the SEC, and the financial data and related notes and the reports incorporated by reference herein and therein.</w:t>
      </w:r>
    </w:p>
    <w:p>
      <w:pPr>
        <w:spacing w:after="0" w:line="132" w:lineRule="exact"/>
        <w:rPr>
          <w:sz w:val="20"/>
          <w:szCs w:val="20"/>
          <w:color w:val="auto"/>
        </w:rPr>
      </w:pPr>
    </w:p>
    <w:p>
      <w:pPr>
        <w:sectPr>
          <w:pgSz w:w="11900" w:h="16838" w:orient="portrait"/>
          <w:cols w:equalWidth="0" w:num="2">
            <w:col w:w="1680" w:space="720"/>
            <w:col w:w="8520"/>
          </w:cols>
          <w:pgMar w:left="480" w:top="92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Concurrent Private Placement</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In a concurrent private placement, we are also selling to the same institutional investors of our shares of common stock, unregistered series F preferred investment options to purchase up to 3,133,338 shares of our common stock. Each series F preferred investment option will be exercisable for one share of common stock at an exercise price of $1.50 commencing on the date of issuance and will expire two years from the initial exercise date. The series F preferred investment options and the shares of common stock issuable upon the exercise of such securities are not being registered under the Securities Act of 1933, as amended (the “Securities Act”), are not being offered pursuant to this prospectus supplement and the accompanying prospectus and are being offered pursuant to the exemption provided in Section 4(a)(2) under the Securities Act and Rule 506(b) promulgated thereunder. See the section titled “Private Placement Transaction.”</w:t>
      </w:r>
    </w:p>
    <w:p>
      <w:pPr>
        <w:spacing w:after="0" w:line="188" w:lineRule="exact"/>
        <w:rPr>
          <w:sz w:val="20"/>
          <w:szCs w:val="20"/>
          <w:color w:val="auto"/>
        </w:rPr>
      </w:pPr>
    </w:p>
    <w:p>
      <w:pPr>
        <w:sectPr>
          <w:pgSz w:w="11900" w:h="16838" w:orient="portrait"/>
          <w:cols w:equalWidth="0" w:num="2">
            <w:col w:w="2160" w:space="240"/>
            <w:col w:w="8520"/>
          </w:cols>
          <w:pgMar w:left="480" w:top="927" w:right="49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“MBOT”.</w:t>
      </w:r>
    </w:p>
    <w:p>
      <w:pPr>
        <w:spacing w:after="0" w:line="441" w:lineRule="exact"/>
        <w:rPr>
          <w:sz w:val="20"/>
          <w:szCs w:val="20"/>
          <w:color w:val="auto"/>
        </w:rPr>
      </w:pPr>
    </w:p>
    <w:p>
      <w:pPr>
        <w:sectPr>
          <w:pgSz w:w="11900" w:h="16838" w:orient="portrait"/>
          <w:cols w:equalWidth="0" w:num="2">
            <w:col w:w="1680" w:space="720"/>
            <w:col w:w="8520"/>
          </w:cols>
          <w:pgMar w:left="480" w:top="927" w:right="499" w:bottom="1440" w:gutter="0" w:footer="0" w:header="0"/>
          <w:type w:val="continuous"/>
        </w:sect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immediately after this offering is based on 14,398,964 shares of our common stock outstanding as of March 31, 2024 and excludes the following securities outstanding on March 31, 2024:</w:t>
      </w:r>
    </w:p>
    <w:p>
      <w:pPr>
        <w:spacing w:after="0" w:line="162" w:lineRule="exact"/>
        <w:rPr>
          <w:sz w:val="20"/>
          <w:szCs w:val="20"/>
          <w:color w:val="auto"/>
        </w:rPr>
      </w:pPr>
    </w:p>
    <w:p>
      <w:pPr>
        <w:ind w:left="980" w:right="20" w:hanging="327"/>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27" w:right="499" w:bottom="1440" w:gutter="0" w:footer="0" w:header="0"/>
          <w:type w:val="continuous"/>
        </w:sectPr>
      </w:pPr>
    </w:p>
    <w:bookmarkStart w:id="9" w:name="page10"/>
    <w:bookmarkEnd w:id="9"/>
    <w:p>
      <w:pPr>
        <w:ind w:left="980" w:right="20" w:hanging="327"/>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3047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3047365"/>
                    </a:xfrm>
                    <a:prstGeom prst="rect">
                      <a:avLst/>
                    </a:prstGeom>
                    <a:noFill/>
                  </pic:spPr>
                </pic:pic>
              </a:graphicData>
            </a:graphic>
          </wp:anchor>
        </w:drawing>
        <w:t>32,778 shares of our common stock issuable upon the exercise of outstanding warrants expiring in November 2026, at an exercise price per share of $2.75;</w:t>
      </w:r>
    </w:p>
    <w:p>
      <w:pPr>
        <w:ind w:left="980" w:right="20" w:hanging="327"/>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ind w:left="980" w:right="20" w:hanging="327"/>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ind w:left="980" w:right="20" w:hanging="327"/>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ind w:left="980" w:hanging="327"/>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ind w:left="980" w:right="20" w:hanging="327"/>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jc w:val="both"/>
        <w:ind w:left="980" w:hanging="327"/>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2,591,804 shares of our common stock issuable upon the exercise of outstanding stock options granted to employees, directors and consultants, with exercise prices ranging from approximately $0.005 to $15.75 and having a weighted-average exercise price of $4.62 per share;</w:t>
      </w:r>
    </w:p>
    <w:p>
      <w:pPr>
        <w:spacing w:after="0" w:line="1"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9"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35,404 shares of our common stock reserved for future grant under our 2020 Omnibus Performance Award Plan.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indicated, this prospectus supplement assumes no exercise of the placement agent warrants and any securities issued in the concurrent private placement.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shares of common stock involves a high degree of risk. You should carefully consider the risks, uncertainties and other factors described in our most recent Annual Report on Form 10-K, as supplemented and updated by subsequent Quarterly Reports on Form 10-Q and Current Reports on Form 8-K that we have filed or will filed with the SEC, and in other documents incorporated by reference to our filings with the SEC pursuant to Sections 13(a), 13(c), 14 or 15(d) of the Exchange Act and all other information contained or incorporated by reference in this prospectus supplement and the accompanying base prospectus, including our consolidated financial statements and the related notes, before investing in our common stock. If any of these risks materialize, our business, financial condition or results of operations could be materially harmed. In that case, the trading price of our common stock could decline, and you may lose some or all of your investment.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securities sold in this offering, you will incur immediate dilution.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Since the price per share of our common stock being offered is higher than the as adjusted net tangible book value per share of our common stock after giving effect to this offering, you will suffer dilution with respect to the as adjusted net tangible book value of the shares of common stock you purchase in this offering. Based on a public offering price of $1.50 per share and our as adjusted net tangible book value as of March 31, 2024, if you purchase securities in this offering, you will suffer immediate dilution of $0.987 per share with respect to the net tangible book value of the common stock. You may experience additional dilution upon exercise of the outstanding stock options and other equity awards that may be granted under our equity incentive plans, exercise of outstanding warrants and when we otherwise issue additional shares of our common stock. For more information, see “Dilution.”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 including in connection with pending litigation.</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future sales of our securities or other dilution of our equity, which may adversely affect the market price of our common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generally not restricted from issuing additional common stock, including any securities that are convertible into or exchangeable for, or that represent the right to receive, common stock; however, we agreed as part of this offering to not issue any common stock or common stock equivalents, or file any registration statement or amendments or supplements thereto, for a period of five trading days from the closing of this offering, subject to customary exceptions.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need to raise additional capital in the future to remain a going concern, which may not be available on acceptable terms, or at all. Failure to obtain this necessary capital when needed may force us to delay, limit or terminate our product development efforts or other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had significant recurring losses from operations and we do not generate any cash from operations and must raise additional funds in order to continue operating our business. We expect to continue to fund our operations in the future primarily through equity and debt financings, grants from the Israel Innovation Authority and other sources. If additional capital is not available to us when needed or on acceptable terms, we may not be able to continue to operate our business pursuant to our business plan or we may have to discontinue our operations entirely. Based on our cash balance and recurring losses since inception and inadequacy of existing capital resources to fund planned operations during the next twelve months, we will require significant additional funding to continue operations. We will receive net proceeds of approximately $2.03 million from the sale of the securities offered by us in this offering, after deducting the placement agent fees and estimated offering expenses payable by us and excluding any proceeds we may receive upon exercise of the securities issued in the concurrent private placement. We cannot provide assurances that our plans will not change or that changed circumstances will not result in the depletion of our capital resources more rapidly than we currently anticipate. Moreover,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on our common stock in the foreseeable future.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currently plan to invest all available funds, including the proceeds from this offering, and future earnings, if any, in the development and growth of our business. We currently do not anticipate paying any cash dividends on our common stock in the foreseeable future. As a result, a rise in the market price of our common stock, which is uncertain and unpredictable, will be your sole source of potential gain in the foreseeable future and you should not rely on an investment in our common stock for dividend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could fluctuate widely in price in response to various factors, many of which are beyond our control, including the following:</w:t>
      </w:r>
    </w:p>
    <w:p>
      <w:pPr>
        <w:spacing w:after="0" w:line="16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operations and product development efforts;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working capital financing;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“public float” in the hands of a small number of persons whose sales or lack of sales could result in positive or negative pricing pressure on the market price for our common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and decline in demand for our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our industry or our prospects;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The COVID-19 pandemic has resulted in significant financial market volatility and uncertainty in the recent past. These market fluctuations may also materially and adversely affect the market price of our common stock. As a result, you may be unable to resell your shares of our common stock at a desired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selling the securities offered in this prospectus on a “best efforts” basis and may not be able to sell any of the securities offered herein.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engaged Wainwright to act as placement agent in connection with this offering. While Wainwright will use its reasonable best efforts to arrange for the sale of the securities, they are under no obligation to purchase any of the securities. As a result, there are no firm commitments to purchase any of the securities in this offering. Consequently, there is no guarantee that we will be capable of selling all, or any, of the securities being offered hereby.</w:t>
      </w:r>
    </w:p>
    <w:p>
      <w:pPr>
        <w:sectPr>
          <w:pgSz w:w="11900" w:h="16838" w:orient="portrait"/>
          <w:cols w:equalWidth="0" w:num="1">
            <w:col w:w="11240"/>
          </w:cols>
          <w:pgMar w:left="320" w:top="684" w:right="339" w:bottom="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estimate the net proceeds to us from the sale of our common stock in this offering will be approximately $2.03 million after deducting the placement agent fees and estimated offering expenses payable by us.</w:t>
      </w:r>
    </w:p>
    <w:p>
      <w:pPr>
        <w:spacing w:after="0" w:line="16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the continued development, commercialization and regulatory activities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our existing intellectual property portfolio,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invest in our securities, you will experience immediate and substantial dilution to the extent of the difference between the amount per share paid in this offering and the net tangible book value per share of our common stock immediately after the offering.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tangible book value per share is determined by subtracting our total liabilities from our total tangible assets, which is total assets less intangible assets, and dividing this amount by the number of shares of common stock outstanding. The historical net tangible book value of our common stock as of March 31, 2024 was approximately $6.17 million, or $0.428 per share, based on 14,398,964 shares of our common stock outstanding at March 31, 2024.</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giving effect to the issuance and sale in this offering of 1,566,669 shares of common stock at the offering price of $1.50 per share, after deducting the estimated placement agent’s fees and estimated offering expenses payable by us, our as adjusted net tangible book value on March 31, 2024, would have been approximately $8.2 million or $0.513 per share. This represents an immediate increase in the net tangible book value of $0.085 per share attributable to this offering and an immediate dilution of $0.987 per share to the new investors in this offering.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immediate dilution to the new investors:</w:t>
            </w:r>
          </w:p>
        </w:tc>
        <w:tc>
          <w:tcPr>
            <w:tcW w:w="9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6"/>
        </w:trPr>
        <w:tc>
          <w:tcPr>
            <w:tcW w:w="6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92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on March 31, 2024</w:t>
            </w:r>
          </w:p>
        </w:tc>
        <w:tc>
          <w:tcPr>
            <w:tcW w:w="9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0.428</w:t>
            </w:r>
          </w:p>
        </w:tc>
        <w:tc>
          <w:tcPr>
            <w:tcW w:w="12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92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0.085</w:t>
            </w:r>
          </w:p>
        </w:tc>
        <w:tc>
          <w:tcPr>
            <w:tcW w:w="1220" w:type="dxa"/>
            <w:vAlign w:val="bottom"/>
            <w:shd w:val="clear" w:color="auto" w:fill="CCEEFF"/>
          </w:tcPr>
          <w:p>
            <w:pPr>
              <w:spacing w:after="0"/>
              <w:rPr>
                <w:sz w:val="18"/>
                <w:szCs w:val="18"/>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 adjusted net tangible book value per share as of March 31, 2024, after giving effect to this</w:t>
            </w:r>
          </w:p>
        </w:tc>
        <w:tc>
          <w:tcPr>
            <w:tcW w:w="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offering</w:t>
            </w:r>
          </w:p>
        </w:tc>
        <w:tc>
          <w:tcPr>
            <w:tcW w:w="9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0.513</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92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0.987</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foregoing discussion and table do not take into account further dilution to new investors that could occur upon the exercise of outstanding options or warrants.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14,398,964 shares of our common stock outstanding as of March 31, 2024, respectively, and excludes the following securities outstanding on March 31, 2024:</w:t>
      </w:r>
    </w:p>
    <w:p>
      <w:pPr>
        <w:spacing w:after="0" w:line="162" w:lineRule="exact"/>
        <w:rPr>
          <w:sz w:val="20"/>
          <w:szCs w:val="20"/>
          <w:color w:val="auto"/>
        </w:rPr>
      </w:pPr>
    </w:p>
    <w:p>
      <w:pPr>
        <w:ind w:left="9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jc w:val="both"/>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2,591,804 shares of our common stock issuable upon the exercise of outstanding stock options granted to employees, directors and consultants, with exercise prices ranging from approximately $0.005 to $15.75 and having a weighted-average exercise price of $4.62 per share;</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35,404 shares of our common stock reserved for future grant under our 2020 Omnibus Performance Award Plan.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indicated, this prospectus supplement assumes no exercise of the placement agent warrants and any securities issued in the concurrent private placement.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SECURITIES WE ARE OFFERING</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are offering shares of common stock. The following description of our shares of common stock summarizes the material terms and provisions thereof, including the material terms of the shares of common stock we are offering under this prospectus supplement and the accompanying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the rights associated with the common stock, see “Description of Common Stock” in the accompanying prospectus. Our common stock is listed on The Nasdaq Capital Market under the symbol “MBOT.” Our transfer agent is Computershare Trust Company, N.A.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PRIVATE PLACEMENT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 concurrent private placement, we are also selling to the same institutional investors of our shares of common stock, unregistered series F preferred investment options to purchase up to 3,133,338 shares of our common stock (the “series F preferred investment options”). Each series F preferred investment option will be exercisable for one share of common stock at an exercise price of $1.50 commencing on the date of issuance and will expire two years from the initial exercise date.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holder of preferred investment options will not have the right to exercise any portion of its preferred investment options if the holder, together with its affiliates, would beneficially own in excess of 4.99% of the number of shares of common stock outstanding immediately after giving effect to such exercise; provided, however, that upon notice to the Company, the holder may increase or decrease such beneficial ownership limitation, provided that in no event shall such beneficial ownership limitation exceed 9.99% and any increase in the beneficial ownership limitation will not be effective until 61 days following notice of such increase from the holder to us. In addition, the holders of the preferred investment options will have the right to participate in any rights offering or distribution of assets together with the holders of our shares of common stock on an as-exercised basis.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preferred investment options and the shares of common stock issuable upon the exercise of such securities are not being registered under the Securities Act of 1933, as amended (the “Securities Act”), are not being offered pursuant to this prospectus supplement and the accompanying prospectus and are being offered pursuant to the exemption provided in Section 4(a)(2) under the Securities Act and Rule 506(b) promulgated thereunder. Accordingly, purchasers of the preferred investment options, may only sell shares of our common stock issued upon exercise of such securities being sold to them in the concurrent private placement, pursuant to an effective registration statement under the Securities Act covering the resale of those shares, an exemption under Rule 144 under the Securities Act or another applicable exemption under the Securities Act. None of the series F preferred investment options issued in the concurrent private placement are or will be listed for trading on any national securities exchange.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the shares of common stock issuable upon the exercise of the preferred investment options will be subject to adjustment for stock splits, reverse splits, and similar capital transactions, as described in the preferred investment options. The preferred investment options will be exercisable on a “cashless” basis in certain circumstances.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if a fundamental transaction occurs, then the successor entity will succeed to, and be substituted for us, and may exercise every right and power that we may exercise and will assume all of our obligations under the preferred investment options with the same effect as if such successor entity had been named in the preferred investment option itself. If holders of our shares of common stock are given a choice as to the securities, cash or property to be received in a fundamental transaction, then the holder shall be given the same choice as to the consideration it receives upon any exercise of the preferred investment option following such fundamental transaction. As more fully described in the form of preferred investment option, in the event of certain fundamental transactions, the holders of the preferred investment options will be entitled to receive consideration in an amount equal to the Black Scholes value of the preferred investment option on the date of consummation of the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an engagement letter agreement dated May 29, 2024, we have engaged H.C. Wainwright &amp; Co., LLC, referred to herein as Wainwright or the placement agent, to act as our exclusive placement agent in connection with this offering. Under the terms of the engagement letter, Wainwright is not purchasing the securities offered by us in this offering, and is not required to sell any specific number or dollar amount of securities, but will assist us in this offering on a reasonable best efforts basis. The terms of this offering were subject to market conditions and negotiations between us, Wainwright and prospective investors. Wainwright will have no authority to bind us by virtue of the engagement letter. Wainwright may engage sub-agents or selected dealers to assist with this offering. We may not sell the entire amount of our shares of Common Stock offered pursuant to this prospectus supplement.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placement agent proposes to arrange for the sale of the securities we are offering pursuant to this prospectus supplement and accompanying prospectus to one or more institutional or accredited investors through securities purchase agreements directly between the purchaser and us. We will only sell to such investors who have entered into the securities purchase agreement with us.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Delivery of the securities offered hereby is expected to take place on or about June 4, 2024, subject to satisfaction of customary closing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agreed to pay the placement agent a cash fee of 7.0% of the aggregate gross proceeds raised in the offering, as well as a management fee equal to 1.0% of the gross proceeds raised in this offering. The following table shows the per share and total cash fees we will pay to the placement agent in connection with the sale of our securities offered pursuant to this prospectus supplement and the accompanying prospectus, assuming the purchase of all of the securities offered hereby.</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245"/>
        </w:trPr>
        <w:tc>
          <w:tcPr>
            <w:tcW w:w="66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360" w:type="dxa"/>
            <w:vAlign w:val="bottom"/>
            <w:tcBorders>
              <w:top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2,350,003.50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agent’s fees (1)</w:t>
            </w: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0.105</w:t>
            </w:r>
          </w:p>
        </w:tc>
        <w:tc>
          <w:tcPr>
            <w:tcW w:w="5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164,500.25</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 (2)</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1.395</w:t>
            </w:r>
          </w:p>
        </w:tc>
        <w:tc>
          <w:tcPr>
            <w:tcW w:w="5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2,185,503.25</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agreed to reimburse the placement agent for its non-accountable expenses in the amount of $25,000, for its fees and expenses of legal counsel in the amount of up to $35,000, and for its clearing expenses in the amount of $15,950. We estimate the total offering expenses of this offering that will be payable by us, excluding the placement agent’s fees and expenses, will be approximately $60,000.</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will issue to the placement agent, or its designees, warrants to purchase up to 78,333 shares of Common Stock. The placement agent warrants will be exercisable immediately following issuance, will have an exercise price equal to $1.875 and will have the same term as the preferred investment options offered to investors in this offering.</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securities purchase agreement that we entered into with the investor prohibits, with certain limited exceptions, us: (i) for five (5) days following the closing date from issuing any shares of Common Stock or Common Stock Equivalents (as defined in the securities purchase agreement) or filing any registration statement (other than a Form S-8), and (ii) for one (1) year following the closing date from issuing any shares of Common Stock or Common Stock Equivalents in a Variable Rate Transaction (as defined in the securities purchase agreement).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granted Wainwright, subject to certain exceptions, a right of first refusal for a period of twelve (12) months following the consummation of this offering to act as our exclusive underwriter or placement agent for any further capital raising transactions undertaken by us or any of our subsidiaries.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that any investor whom the placement agent had contacted during the term of its engagement or introduced to the Company during the term of our engagement of the placement agent provides any capital to us, in a public or private offering or other financing or capital-raising transaction of any kind, within the six (6) months following the expiration of termination of the engagement of the placement agent, we shall pay the placement agent the cash and warrant compensation provided above, calculated in the same manner.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and specified other persons against certain liabilities relating to or arising out of the placement agent’s activities under its engagement letter, including liabilities under the Securities Act, and to contribute to payments that the placement agent may be required to make in respect of such liabilities.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placement agent or its affiliates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the placement agent for any further services.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placement agent acted as our placement agent in connection with our preferred investment option inducement offering that was consummated in January 2024, for which it received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shares of Common Stock trade on the Nasdaq Capital Market under the ticker symbol “MBOT.”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shares being offered under this prospectus supplement by us will be passed upon for us by Mintz, Levin, Cohn, Ferris, Glovsky and Popeo, P.C., Boston, Massachusetts. Ellenoff Grossman &amp; Schole LLP, New York, New York is counsel to the placement agent in connection with this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2023 and 2022, and for each of the two years in the period ended December 31, 2023, incorporated by reference in this Prospectus supplement, have been audited by Brightman Almagor Zohar &amp; Co., a Firm in the Deloitte Global Network, an independent registered public accounting firm, as stated in their report incorporated by reference herein. Such consolidated financial statements are included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only part of a registration statement on Form S-3 that we have filed with the SEC under the Securities Act and therefore omit certain information contained in the registration statement. We have also filed exhibits and schedules with the registration statement that are excluded from this prospectus supplement and the accompanying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www.microbotmedical.com</w:t>
      </w:r>
      <w:r>
        <w:rPr>
          <w:rFonts w:ascii="Times New Roman" w:cs="Times New Roman" w:eastAsia="Times New Roman" w:hAnsi="Times New Roman"/>
          <w:sz w:val="18"/>
          <w:szCs w:val="18"/>
          <w:color w:val="auto"/>
        </w:rPr>
        <w:t>, through which you can access our SEC filings. The information set forth on our website is not part of this prospectus supplement or the accompanying prospectus.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6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w:t>
      </w:r>
      <w:hyperlink r:id="rId35">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27,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w:t>
      </w:r>
      <w:hyperlink r:id="rId36">
        <w:r>
          <w:rPr>
            <w:rFonts w:ascii="Times New Roman" w:cs="Times New Roman" w:eastAsia="Times New Roman" w:hAnsi="Times New Roman"/>
            <w:sz w:val="18"/>
            <w:szCs w:val="18"/>
            <w:u w:val="single" w:color="auto"/>
            <w:color w:val="0000EE"/>
          </w:rPr>
          <w:t>March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15, 2023;</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30,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27,</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April 15, 2024</w:t>
        </w:r>
      </w:hyperlink>
      <w:hyperlink r:id="rId3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9">
        <w:r>
          <w:rPr>
            <w:rFonts w:ascii="Times New Roman" w:cs="Times New Roman" w:eastAsia="Times New Roman" w:hAnsi="Times New Roman"/>
            <w:sz w:val="18"/>
            <w:szCs w:val="18"/>
            <w:u w:val="single" w:color="auto"/>
            <w:color w:val="0000EE"/>
          </w:rPr>
          <w:t>April 24, 2024</w:t>
        </w:r>
      </w:hyperlink>
      <w:hyperlink r:id="rId37">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40">
        <w:r>
          <w:rPr>
            <w:rFonts w:ascii="Times New Roman" w:cs="Times New Roman" w:eastAsia="Times New Roman" w:hAnsi="Times New Roman"/>
            <w:sz w:val="18"/>
            <w:szCs w:val="18"/>
            <w:u w:val="single" w:color="auto"/>
            <w:color w:val="0000EE"/>
          </w:rPr>
          <w:t xml:space="preserve">June 3, 2024 </w:t>
        </w:r>
      </w:hyperlink>
      <w:hyperlink r:id="rId37">
        <w:r>
          <w:rPr>
            <w:rFonts w:ascii="Times New Roman" w:cs="Times New Roman" w:eastAsia="Times New Roman" w:hAnsi="Times New Roman"/>
            <w:sz w:val="18"/>
            <w:szCs w:val="18"/>
            <w:color w:val="000000"/>
          </w:rPr>
          <w:t>(except in each case for information contained therein which is furnished rather than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w:t>
      </w:r>
    </w:p>
    <w:p>
      <w:pPr>
        <w:spacing w:after="0" w:line="175" w:lineRule="exact"/>
        <w:rPr>
          <w:rFonts w:ascii="Times New Roman" w:cs="Times New Roman" w:eastAsia="Times New Roman" w:hAnsi="Times New Roman"/>
          <w:sz w:val="18"/>
          <w:szCs w:val="18"/>
          <w:color w:val="0000EE"/>
        </w:rPr>
      </w:pPr>
    </w:p>
    <w:p>
      <w:pPr>
        <w:ind w:left="980" w:right="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41">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August 3, 1998, including all amendments and reports filed for the purpose of updating such description.</w:t>
      </w:r>
    </w:p>
    <w:p>
      <w:pPr>
        <w:spacing w:after="0" w:line="162" w:lineRule="exact"/>
        <w:rPr>
          <w:rFonts w:ascii="Times New Roman" w:cs="Times New Roman" w:eastAsia="Times New Roman" w:hAnsi="Times New Roman"/>
          <w:sz w:val="18"/>
          <w:szCs w:val="18"/>
          <w:color w:val="0000EE"/>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documents we file with the SEC pursuant to Sections 13(a), 13(c), 14 or 15(d) of the Exchange Act, except as to any portion of any report or documents that is not deemed filed under such provisions, on or after the date of this prospectus supplement until the termination of this offering shall be deemed incorporated by reference in this prospectus supplement and the accompanying prospectus and to be a part of this prospectus supplement from the date of filing of those documents.</w:t>
      </w:r>
    </w:p>
    <w:p>
      <w:pPr>
        <w:spacing w:after="0" w:line="180" w:lineRule="exact"/>
        <w:rPr>
          <w:rFonts w:ascii="Times New Roman" w:cs="Times New Roman" w:eastAsia="Times New Roman" w:hAnsi="Times New Roman"/>
          <w:sz w:val="18"/>
          <w:szCs w:val="18"/>
          <w:color w:val="0000EE"/>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copy of this prospectus supplement is delivered, a copy of any or all of the information that has been incorporated by reference in this prospectus supplement but not delivered with this prospectus supplement (other than the exhibits to such documents which are not specifically incorporated by reference therein); we will provide this information at no cost to the requester upon written or oral request to: Microbot Medical Inc. Attn: Chief Financial Officer, 288 Grove Street, Suite 388, Braintree, Massachusetts 02184. You may also telephone us at (781) 875-3605.</w:t>
      </w:r>
    </w:p>
    <w:p>
      <w:pPr>
        <w:spacing w:after="0" w:line="183" w:lineRule="exact"/>
        <w:rPr>
          <w:rFonts w:ascii="Times New Roman" w:cs="Times New Roman" w:eastAsia="Times New Roman" w:hAnsi="Times New Roman"/>
          <w:sz w:val="18"/>
          <w:szCs w:val="18"/>
          <w:color w:val="0000EE"/>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7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156845</wp:posOffset>
            </wp:positionV>
            <wp:extent cx="2631440" cy="1320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263144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or common stock, preferred stock or debt securities upon the exercise of warrants or rights.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 If information in any prospectus supplement is inconsistent with the information in this prospectus, then the information in that prospectus supplement will apply and will supersede the information in this prospectus.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November 29, 2023, the last reported sale price of our common stock on The Nasdaq Capital Market was $1.26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deciding whether to invest in our securities, you should consider carefully the risks that we have described on page 6 of this prospectus under the caption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We may include specific risk factors in supplements to this prospectus under the caption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This prospectus may not be used to sell our securities unless accompanied by a prospectus supplement.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5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96"/>
        </w:trPr>
        <w:tc>
          <w:tcPr>
            <w:tcW w:w="2200" w:type="dxa"/>
            <w:vAlign w:val="bottom"/>
            <w:tcBorders>
              <w:bottom w:val="single" w:sz="8" w:color="0000EE"/>
            </w:tcBorders>
            <w:gridSpan w:val="7"/>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0000EE"/>
              </w:rPr>
              <w:t>PROSPECTUS SUMMARY</w:t>
            </w:r>
          </w:p>
        </w:tc>
        <w:tc>
          <w:tcPr>
            <w:tcW w:w="840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1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CAUTIONARY NOTE REGARDING FORWARD-LOOKING STATEMENTS</w:t>
            </w:r>
          </w:p>
        </w:tc>
        <w:tc>
          <w:tcPr>
            <w:tcW w:w="44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COMMON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PREFERRED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336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WARRANTS</w:t>
            </w:r>
          </w:p>
        </w:tc>
        <w:tc>
          <w:tcPr>
            <w:tcW w:w="72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5"/>
        </w:trPr>
        <w:tc>
          <w:tcPr>
            <w:tcW w:w="322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RIGHTS</w:t>
            </w:r>
          </w:p>
        </w:tc>
        <w:tc>
          <w:tcPr>
            <w:tcW w:w="738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6"/>
        </w:trPr>
        <w:tc>
          <w:tcPr>
            <w:tcW w:w="21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846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EXPERTS</w:t>
            </w:r>
          </w:p>
        </w:tc>
        <w:tc>
          <w:tcPr>
            <w:tcW w:w="976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utilizing a “shelf” registration process. Under this shelf registration process, we may offer shares of our common stock or preferred stock, various series of debt securities and/or warrants or rights to purchase any of such securities, either individually or in units, in one or more offerings, with a total value of up to $75,000,000.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making an investment decision.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6,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Core-Business Focus Program</w:t>
      </w:r>
    </w:p>
    <w:p>
      <w:pPr>
        <w:spacing w:after="0" w:line="22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This core-business focus program includes the cessation of research and development activities not related to LIBERTY, including terminating the Company’s agreement with CardioSert for that technology, and returning intellectual property relating to the SCS (ViRob) and TipCat to Technion Research and Development Foundation.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Reduction Plan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 robotic system.</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and June 2023, we raised sufficient capital that, together with the ongoing savings from the cost reduction plan, has enabled us to continue our operations through approximately April of 2024, including completion of the V&amp;V study, perform the GLP study and submit the IDE to the US Food &amp; Drug Administration. We also, retroactive to November 1, 2023, recommenced paying Rachel Vaknin, our CFO, and Simon Sharon, our CTO and General Manager, their regular salaries and benefits that were previously reduced as a result of the cost reduction plan. Continuing the continuing commitment of Harel Gadot, our CEO, to the Company to support it financially while it completes its current development and regulatory activities, his compensation will continue to be subject to his 50% reduction as part of the cost reduction plan. We continue to seek new sources of capital to stabilize our finances and provide operating runway subsequent to April of 2024. In the event the Company is not successful in raising additional capital by April of 2024, or if the results of the V&amp;V study and first-in-human trials are not promising, the Company may be forced to take more drastic actions to conserve capital or shut down operations entirely.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First-In-Human Clinical Cases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final report from our recently completed pivotal pre-clinical study using the LIBERTY Robotic Surgical System which is expected before the end of 2023, and the completion of the verification and validation (V&amp;V) process of which certain phases have been completed but others are ongoing and may be subject to delays indirectly caused by the Israel-Hamas war described below, we plan on submitting the Investigational Device Exemption (IDE) application to the U.S. Food and Drug Administration in the first quarter of 2024, in order to commence a pivotal clinical trial in humans. In addition, we are considering secondary options and contingencies in the event the IDE application is delayed. After initially considering potential First-In-Human cases in Brazil, by engaging with interventional radiologist Prof. Francisco Cesar Carnevale from University of Sao Paulo Medical School Hospital, we determined that first-in-human clinical trials in Brazil have similar requirements as in the United States. Furthermore, we are still in the process of evaluating the potential of utilizing Greece as an option to carry our First-In Human Cases. However, although we believe Brazil and Greece remain strategically important for commercialization of our LIBERTY device, we decided not to pursue First-In-Human trials or cases outside of the United States at this time to avoid conflict with our FDA submission process.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LIBERTY</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LIBERTY’s addressable markets are the Interventional Cardiology, Interventional Radiology and Interventional Neuroradiology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LIBERTY is being designed to have the following attributes:</w:t>
      </w:r>
    </w:p>
    <w:p>
      <w:pPr>
        <w:spacing w:after="0" w:line="22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and only fully disposable, robotic system for endovascular procedures.</w:t>
      </w:r>
    </w:p>
    <w:p>
      <w:pPr>
        <w:spacing w:after="0" w:line="9" w:lineRule="exact"/>
        <w:rPr>
          <w:rFonts w:ascii="Times New Roman" w:cs="Times New Roman" w:eastAsia="Times New Roman" w:hAnsi="Times New Roman"/>
          <w:sz w:val="18"/>
          <w:szCs w:val="18"/>
          <w:color w:val="auto"/>
        </w:rPr>
      </w:pPr>
    </w:p>
    <w:p>
      <w:pPr>
        <w:ind w:left="1300" w:right="20" w:hanging="644"/>
        <w:spacing w:after="0" w:line="182" w:lineRule="auto"/>
        <w:tabs>
          <w:tab w:leader="none" w:pos="1300"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Can be made compatible with Microbot’s NitiLoop’s NovaCross products or possibly other guidewire/microcatheter technologies, that combines guidewire and microcatheter into a single device.</w:t>
      </w:r>
    </w:p>
    <w:p>
      <w:pPr>
        <w:spacing w:after="0" w:line="1" w:lineRule="exact"/>
        <w:rPr>
          <w:rFonts w:ascii="Times New Roman" w:cs="Times New Roman" w:eastAsia="Times New Roman" w:hAnsi="Times New Roman"/>
          <w:sz w:val="36"/>
          <w:szCs w:val="36"/>
          <w:color w:val="auto"/>
          <w:vertAlign w:val="superscript"/>
        </w:rPr>
      </w:pPr>
    </w:p>
    <w:p>
      <w:pPr>
        <w:ind w:left="1300" w:hanging="644"/>
        <w:spacing w:after="0" w:line="25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rotational and tip control of its guidewire, as well as linear motion for an additional “over the wire” device.</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9"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ind w:left="1300" w:hanging="644"/>
        <w:spacing w:after="0"/>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use - LIBERTY’s intuitive remote controls aims to simplify advanced procedures while shortening the physician’s learning curve.</w:t>
      </w:r>
    </w:p>
    <w:p>
      <w:pPr>
        <w:spacing w:after="0" w:line="20"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 We are still determining scheduling to move the collaboration forward.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2021, we achieved design freeze of the LIBERTY device.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2022, we filed our pre-submission package for the LIBERTY Robotic System with the FDA, addressing the regulatory pathway for the LIBERTY Robotic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 During the animal study, the physicians conducted 63 navigations to the targeted sites using the investigational LIBERTY Robotic System and performed an equal number of procedures manually. The LIBERTY Robotic System received positive feedback from participating physicians, and there were no observable immediate intraoperative adverse events, or harm, to the test subjects. 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 The Company believes the results of the study allow it to move forward and focus on the next phases to ultimately include a U.S.-based pivotal pre-clinical study. The Company, together with its regulatory experts and consultants, believe a larger sample size and robust data generated by this study will advance the company’s efforts towards the submission of an Investigational Device Exemption (IDE) with the U.S. Food and Drug Administration (FDA).</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 Robotic Surgical System’s remote operation capabilities, to pre-determined vascular targets, with a 100% success rate of reaching the intended target with no observable on-site complications.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 Robotic Surgical System. The pivotal study was conducted by three leading interventional radiologists that utilized the LIBERTY Robotic Surgical System to reach a total of 48 animal targets. A total of 6 LIBERTY Systems were used in the study, and each was used to reach a total of 8 targets. All 6 LIBERTY Systems performed flawlessly, with 100% usability and technical success. No acute adverse events or complications were visually observed intra-operative. We expect to receive the comprehensive final report later in the fourth quarter of 2023. Subject to the final report, and the completion of the verification and validation process which is ongoing but subject to delays indirectly caused by the Israel-Hamas war described above, we plan on submitting the Investigational Device Exemption application to the FDA in the first quarter of 2024, in order to commence our pivotal clinical trial in humans.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NovaCross</w:t>
      </w:r>
      <w:r>
        <w:rPr>
          <w:rFonts w:ascii="Times New Roman" w:cs="Times New Roman" w:eastAsia="Times New Roman" w:hAnsi="Times New Roman"/>
          <w:sz w:val="29"/>
          <w:szCs w:val="29"/>
          <w:b w:val="1"/>
          <w:bCs w:val="1"/>
          <w:color w:val="auto"/>
          <w:vertAlign w:val="superscript"/>
        </w:rPr>
        <w:t>TM</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Technologies and Platforms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second and third quarters of 2023, as a result of our core-business focus program and our cost reduction plan, we ceased research and development activities relating to the technology we acquired from CardioSert, and with respect to our SCS and TipCat platforms. As a result, we terminated the Company’s agreement with CardioSert for that technology, and returned intellectual property relating to the SCS (ViRob) and TipCat to Technion Research and Development Foundation.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including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2022 and our Quarterly Reports on Form 10-Q for the three months ended March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and September 30, 2023, as described under the caption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 xml:space="preserve"> of this prospectus.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288 Grove Street, Suite 388, Braintree, MA 02184.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Offerings Under This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this prospectus, we may offer shares of our common stock or preferred stock, various series of debt securities and/or warrants or rights to purchase any such securities,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conversion terms,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IT IS ACCOMPANIED BY A PROSPECTUS SUPPLEMENT.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as supplemented by our subsequent Quarterly Reports on Form 10-Q or our Current Reports on Form 8-K, discussing some of the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other general corporate purposes, which may include, but are not limited to, working capital, intellectual property protection and enforcement, capital expenditures, repayment of indebtedness and collaborations, and the costs of acquiring, licensing or investing in new and existing businesses, product candidates and technologies.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or interest-bearing securities in accordance with our cash-management policies. Additional information on the use of proceeds from the sale of securities offered by this prospectus may be set forth in the prospectus supplement relating to that offering.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securities under this prospectus from time to time pursuant to public offerings through one or more placement agents or underwriters,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and may enter into arrangements for “at the market,” equity line or similar transactions. We will name in a prospectus supplement any underwriter or agent involved in the offer or sale of the securities.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9"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par value $0.01 per share. As of November 29, 2023 we had 11,707,317 shares of common stock issued and outstanding and approximately 100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below for directions on obtaining these documents. The summary below is also qualified by provisions of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for quotation on the Nasdaq Capital Market under the symbol “MBOT.”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authority to issue 1,000,000 shares of preferred stock, par value $0.01 per share. As of the date of this prospectus, no shares of our preferred stock were outstanding or designated.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More Information</w:t>
      </w:r>
      <w:r>
        <w:rPr>
          <w:rFonts w:ascii="Times New Roman" w:cs="Times New Roman" w:eastAsia="Times New Roman" w:hAnsi="Times New Roman"/>
          <w:sz w:val="18"/>
          <w:szCs w:val="18"/>
          <w:color w:val="auto"/>
        </w:rPr>
        <w:t>” below for directions on obtaining these documents. The summary below is also qualified by provisions of applicable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 the liquidation preference per share and the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such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exchange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liquidation, dissolution or winding up of the affairs of the Company;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preferred stock offered by this prospectus will, when issued, be fully paid and nonassessable and will not have, or be subject to, any preemptive or similar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any series or class of preferred stock will be set forth in the applicable prospectus supplement.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common stock and the number of shares of common stock to be received upon exercise of the warrants;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preferred stock, the number of shares of preferred stock to be received upon exercise, and a description of that series of our preferred stock;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stock, preferred stock and/or debt securities will be separately transferable;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29, 2023, we had outstanding: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1,022,495 shares of our common stock issuable upon the exercise of outstanding series A preferred investment options expiring in October 2027, originally at an exercise price per share of $4.64 but amended to a reduced exercise price per share of $2.20 in connection with the offering that was consummated on May 24, 2023;</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June 2028, at an exercise price per share of $2.6719;</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350,878 shares of our common stock issuable upon the exercise of outstanding series C preferred investment options expiring in December 2028, at an exercise price per share of $2.075;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312,309 shares of our common stock issuable upon the exercise of outstanding series D preferred investment options expiring in December 2028, at an exercise price per share of $3.19;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or the Trust Indenture Act,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the senior indenture nor any subordinated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on any material or special U.S. federal income tax considerations applicable to a series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preferred stock or other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are transferrable and the date, if any, on and after which the rights may be separately transferred;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to exercise the rights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holders of rights will be entitled to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offering,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termination and cancellation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any backstop or standby purchaser or purchasers and the terms of their commitment,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stockholders are entitled to oversubscription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 as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w:t>
      </w:r>
      <w:r>
        <w:rPr>
          <w:rFonts w:ascii="Times New Roman" w:cs="Times New Roman" w:eastAsia="Times New Roman" w:hAnsi="Times New Roman"/>
          <w:sz w:val="18"/>
          <w:szCs w:val="18"/>
          <w:i w:val="1"/>
          <w:iCs w:val="1"/>
          <w:color w:val="auto"/>
        </w:rPr>
        <w:t>Description of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Preferred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Warrants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Rights</w:t>
      </w:r>
      <w:r>
        <w:rPr>
          <w:rFonts w:ascii="Times New Roman" w:cs="Times New Roman" w:eastAsia="Times New Roman" w:hAnsi="Times New Roman"/>
          <w:sz w:val="18"/>
          <w:szCs w:val="18"/>
          <w:color w:val="auto"/>
        </w:rPr>
        <w:t>” will apply to each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applicable, and to any common stock, preferred stock, debt security, warrant or right included in each unit, as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AND BYLAWS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provisions for stockholder proposals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stockholder vote required for certain 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Eighth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shares being offered under this prospectus by us will be passed upon for us by Ruskin Moscou Faltischek, P.C., Uniondale,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2022 and 2021, and for each of the two years in the period ended December 31, 2022,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8"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2022 filed with the SEC on </w:t>
      </w:r>
      <w:hyperlink r:id="rId69">
        <w:r>
          <w:rPr>
            <w:rFonts w:ascii="Times New Roman" w:cs="Times New Roman" w:eastAsia="Times New Roman" w:hAnsi="Times New Roman"/>
            <w:sz w:val="18"/>
            <w:szCs w:val="18"/>
            <w:u w:val="single" w:color="auto"/>
            <w:color w:val="0000EE"/>
          </w:rPr>
          <w:t>March 31, 2023</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2023, June 30, 2023 and September 30, 2023 that we filed with the SEC on </w:t>
      </w:r>
      <w:hyperlink r:id="rId36">
        <w:r>
          <w:rPr>
            <w:rFonts w:ascii="Times New Roman" w:cs="Times New Roman" w:eastAsia="Times New Roman" w:hAnsi="Times New Roman"/>
            <w:sz w:val="18"/>
            <w:szCs w:val="18"/>
            <w:u w:val="single" w:color="auto"/>
            <w:color w:val="0000EE"/>
          </w:rPr>
          <w:t>May 17, 2023</w:t>
        </w:r>
      </w:hyperlink>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u w:val="single" w:color="auto"/>
            <w:color w:val="0000EE"/>
          </w:rPr>
          <w:t>August 14,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1">
        <w:r>
          <w:rPr>
            <w:rFonts w:ascii="Times New Roman" w:cs="Times New Roman" w:eastAsia="Times New Roman" w:hAnsi="Times New Roman"/>
            <w:sz w:val="18"/>
            <w:szCs w:val="18"/>
            <w:u w:val="single" w:color="auto"/>
            <w:color w:val="0000EE"/>
          </w:rPr>
          <w:t>November 14, 2023</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1"/>
        </w:numPr>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18,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24,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u w:val="single" w:color="auto"/>
            <w:color w:val="0000EE"/>
          </w:rPr>
          <w:t>25, 2023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3">
        <w:r>
          <w:rPr>
            <w:rFonts w:ascii="Times New Roman" w:cs="Times New Roman" w:eastAsia="Times New Roman" w:hAnsi="Times New Roman"/>
            <w:sz w:val="18"/>
            <w:szCs w:val="18"/>
            <w:u w:val="single" w:color="auto"/>
            <w:color w:val="0000EE"/>
          </w:rPr>
          <w:t>May 31, 2023</w:t>
        </w:r>
      </w:hyperlink>
      <w:hyperlink r:id="rId7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4">
        <w:r>
          <w:rPr>
            <w:rFonts w:ascii="Times New Roman" w:cs="Times New Roman" w:eastAsia="Times New Roman" w:hAnsi="Times New Roman"/>
            <w:sz w:val="18"/>
            <w:szCs w:val="18"/>
            <w:u w:val="single" w:color="auto"/>
            <w:color w:val="0000EE"/>
          </w:rPr>
          <w:t>June 2, 2023</w:t>
        </w:r>
      </w:hyperlink>
      <w:hyperlink r:id="rId7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5">
        <w:r>
          <w:rPr>
            <w:rFonts w:ascii="Times New Roman" w:cs="Times New Roman" w:eastAsia="Times New Roman" w:hAnsi="Times New Roman"/>
            <w:sz w:val="18"/>
            <w:szCs w:val="18"/>
            <w:u w:val="single" w:color="auto"/>
            <w:color w:val="0000EE"/>
          </w:rPr>
          <w:t>June 6, 2023</w:t>
        </w:r>
      </w:hyperlink>
      <w:hyperlink r:id="rId7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6">
        <w:r>
          <w:rPr>
            <w:rFonts w:ascii="Times New Roman" w:cs="Times New Roman" w:eastAsia="Times New Roman" w:hAnsi="Times New Roman"/>
            <w:sz w:val="18"/>
            <w:szCs w:val="18"/>
            <w:u w:val="single" w:color="auto"/>
            <w:color w:val="0000EE"/>
          </w:rPr>
          <w:t>June 16, 2023</w:t>
        </w:r>
      </w:hyperlink>
      <w:hyperlink r:id="rId7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7">
        <w:r>
          <w:rPr>
            <w:rFonts w:ascii="Times New Roman" w:cs="Times New Roman" w:eastAsia="Times New Roman" w:hAnsi="Times New Roman"/>
            <w:sz w:val="18"/>
            <w:szCs w:val="18"/>
            <w:u w:val="single" w:color="auto"/>
            <w:color w:val="0000EE"/>
          </w:rPr>
          <w:t>June 22, 2023</w:t>
        </w:r>
      </w:hyperlink>
      <w:hyperlink r:id="rId7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8">
        <w:r>
          <w:rPr>
            <w:rFonts w:ascii="Times New Roman" w:cs="Times New Roman" w:eastAsia="Times New Roman" w:hAnsi="Times New Roman"/>
            <w:sz w:val="18"/>
            <w:szCs w:val="18"/>
            <w:u w:val="single" w:color="auto"/>
            <w:color w:val="0000EE"/>
          </w:rPr>
          <w:t>June 29, 2023</w:t>
        </w:r>
      </w:hyperlink>
      <w:hyperlink r:id="rId7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9">
        <w:r>
          <w:rPr>
            <w:rFonts w:ascii="Times New Roman" w:cs="Times New Roman" w:eastAsia="Times New Roman" w:hAnsi="Times New Roman"/>
            <w:sz w:val="18"/>
            <w:szCs w:val="18"/>
            <w:u w:val="single" w:color="auto"/>
            <w:color w:val="0000EE"/>
          </w:rPr>
          <w:t>September 5, 2023</w:t>
        </w:r>
      </w:hyperlink>
      <w:hyperlink r:id="rId7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0">
        <w:r>
          <w:rPr>
            <w:rFonts w:ascii="Times New Roman" w:cs="Times New Roman" w:eastAsia="Times New Roman" w:hAnsi="Times New Roman"/>
            <w:sz w:val="18"/>
            <w:szCs w:val="18"/>
            <w:u w:val="single" w:color="auto"/>
            <w:color w:val="0000EE"/>
          </w:rPr>
          <w:t>October 17, 2023</w:t>
        </w:r>
      </w:hyperlink>
      <w:hyperlink r:id="rId72">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81">
        <w:r>
          <w:rPr>
            <w:rFonts w:ascii="Times New Roman" w:cs="Times New Roman" w:eastAsia="Times New Roman" w:hAnsi="Times New Roman"/>
            <w:sz w:val="18"/>
            <w:szCs w:val="18"/>
            <w:u w:val="single" w:color="auto"/>
            <w:color w:val="0000EE"/>
          </w:rPr>
          <w:t>October 19,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2">
        <w:r>
          <w:rPr>
            <w:rFonts w:ascii="Times New Roman" w:cs="Times New Roman" w:eastAsia="Times New Roman" w:hAnsi="Times New Roman"/>
            <w:sz w:val="18"/>
            <w:szCs w:val="18"/>
            <w:u w:val="single" w:color="auto"/>
            <w:color w:val="0000EE"/>
          </w:rPr>
          <w:t>October 24,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3">
        <w:r>
          <w:rPr>
            <w:rFonts w:ascii="Times New Roman" w:cs="Times New Roman" w:eastAsia="Times New Roman" w:hAnsi="Times New Roman"/>
            <w:sz w:val="18"/>
            <w:szCs w:val="18"/>
            <w:u w:val="single" w:color="auto"/>
            <w:color w:val="0000EE"/>
          </w:rPr>
          <w:t>October 31,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4">
        <w:r>
          <w:rPr>
            <w:rFonts w:ascii="Times New Roman" w:cs="Times New Roman" w:eastAsia="Times New Roman" w:hAnsi="Times New Roman"/>
            <w:sz w:val="18"/>
            <w:szCs w:val="18"/>
            <w:u w:val="single" w:color="auto"/>
            <w:color w:val="0000EE"/>
          </w:rPr>
          <w:t>November 6,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5">
        <w:r>
          <w:rPr>
            <w:rFonts w:ascii="Times New Roman" w:cs="Times New Roman" w:eastAsia="Times New Roman" w:hAnsi="Times New Roman"/>
            <w:sz w:val="18"/>
            <w:szCs w:val="18"/>
            <w:u w:val="single" w:color="auto"/>
            <w:color w:val="0000EE"/>
          </w:rPr>
          <w:t xml:space="preserve">November 8, 2023, </w:t>
        </w:r>
      </w:hyperlink>
      <w:hyperlink r:id="rId86">
        <w:r>
          <w:rPr>
            <w:rFonts w:ascii="Times New Roman" w:cs="Times New Roman" w:eastAsia="Times New Roman" w:hAnsi="Times New Roman"/>
            <w:sz w:val="18"/>
            <w:szCs w:val="18"/>
            <w:u w:val="single" w:color="auto"/>
            <w:color w:val="0000EE"/>
          </w:rPr>
          <w:t>November 13,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7">
        <w:r>
          <w:rPr>
            <w:rFonts w:ascii="Times New Roman" w:cs="Times New Roman" w:eastAsia="Times New Roman" w:hAnsi="Times New Roman"/>
            <w:sz w:val="18"/>
            <w:szCs w:val="18"/>
            <w:u w:val="single" w:color="auto"/>
            <w:color w:val="0000EE"/>
          </w:rPr>
          <w:t xml:space="preserve">November 14,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88">
        <w:r>
          <w:rPr>
            <w:rFonts w:ascii="Times New Roman" w:cs="Times New Roman" w:eastAsia="Times New Roman" w:hAnsi="Times New Roman"/>
            <w:sz w:val="18"/>
            <w:szCs w:val="18"/>
            <w:u w:val="single" w:color="auto"/>
            <w:color w:val="0000EE"/>
          </w:rPr>
          <w:t>November 21, 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for information contained therein which is furnished rather than filed);</w:t>
      </w:r>
    </w:p>
    <w:p>
      <w:pPr>
        <w:spacing w:after="0" w:line="179"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89">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September 19, 2023 (but only with respect to information required by Part III of our Annual Report on </w:t>
      </w:r>
      <w:hyperlink r:id="rId6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which information shall update and supersede information included in Part III of our Annual Report on Form 10-K for the fiscal year ended December 31, 2022);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62"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rFonts w:ascii="Times New Roman" w:cs="Times New Roman" w:eastAsia="Times New Roman" w:hAnsi="Times New Roman"/>
          <w:sz w:val="18"/>
          <w:szCs w:val="18"/>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80"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1,566,669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156845</wp:posOffset>
            </wp:positionV>
            <wp:extent cx="3214370" cy="1174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1">
                      <a:extLst>
                        <a:ext uri="{28A0092B-C50C-407E-A947-70E740481C1C}"/>
                      </a:extLst>
                    </a:blip>
                    <a:srcRect/>
                    <a:stretch>
                      <a:fillRect/>
                    </a:stretch>
                  </pic:blipFill>
                  <pic:spPr bwMode="auto">
                    <a:xfrm>
                      <a:off x="0" y="0"/>
                      <a:ext cx="321437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H.C. Wainwright &amp; Co.</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June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jpe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90" Type="http://schemas.openxmlformats.org/officeDocument/2006/relationships/image" Target="media/image55.png"/><Relationship Id="rId91" Type="http://schemas.openxmlformats.org/officeDocument/2006/relationships/image" Target="media/image56.jpeg"/><Relationship Id="rId92" Type="http://schemas.openxmlformats.org/officeDocument/2006/relationships/image" Target="media/image57.png"/><Relationship Id="rId35" Type="http://schemas.openxmlformats.org/officeDocument/2006/relationships/hyperlink" Target="https://www.sec.gov/Archives/edgar/data/883975/000149315224011521/form10-k.htm" TargetMode="External"/><Relationship Id="rId36" Type="http://schemas.openxmlformats.org/officeDocument/2006/relationships/hyperlink" Target="https://www.sec.gov/Archives/edgar/data/883975/000149315223017966/form10-q.htm" TargetMode="External"/><Relationship Id="rId37" Type="http://schemas.openxmlformats.org/officeDocument/2006/relationships/hyperlink" Target="https://www.sec.gov/Archives/edgar/data/883975/000149315224007874/form8-k.htm" TargetMode="External"/><Relationship Id="rId38" Type="http://schemas.openxmlformats.org/officeDocument/2006/relationships/hyperlink" Target="https://www.sec.gov/Archives/edgar/data/883975/000149315224014554/form8-k.htm" TargetMode="External"/><Relationship Id="rId39" Type="http://schemas.openxmlformats.org/officeDocument/2006/relationships/hyperlink" Target="https://www.sec.gov/Archives/edgar/data/883975/000149315224015810/form8-k.htm" TargetMode="External"/><Relationship Id="rId40" Type="http://schemas.openxmlformats.org/officeDocument/2006/relationships/hyperlink" Target="https://www.sec.gov/Archives/edgar/data/883975/000149315224022309/form8-k.htm" TargetMode="External"/><Relationship Id="rId41" Type="http://schemas.openxmlformats.org/officeDocument/2006/relationships/hyperlink" Target="https://www.sec.gov/Archives/edgar/data/883975/0001047469-98-029068.txt" TargetMode="External"/><Relationship Id="rId69" Type="http://schemas.openxmlformats.org/officeDocument/2006/relationships/hyperlink" Target="https://www.sec.gov/Archives/edgar/data/883975/000149315223010223/form10-k.htm" TargetMode="External"/><Relationship Id="rId70" Type="http://schemas.openxmlformats.org/officeDocument/2006/relationships/hyperlink" Target="https://www.sec.gov/Archives/edgar/data/883975/000149315223028081/form10-q.htm" TargetMode="External"/><Relationship Id="rId71" Type="http://schemas.openxmlformats.org/officeDocument/2006/relationships/hyperlink" Target="https://www.sec.gov/ix?doc=/Archives/edgar/data/883975/000149315223041069/form10-q.htm" TargetMode="External"/><Relationship Id="rId72" Type="http://schemas.openxmlformats.org/officeDocument/2006/relationships/hyperlink" Target="https://www.sec.gov/ix?doc=/Archives/edgar/data/883975/000149315223019000/form8-k.htm" TargetMode="External"/><Relationship Id="rId73" Type="http://schemas.openxmlformats.org/officeDocument/2006/relationships/hyperlink" Target="https://www.sec.gov/ix?doc=/Archives/edgar/data/883975/000149315223019537/form8-k.htm" TargetMode="External"/><Relationship Id="rId74" Type="http://schemas.openxmlformats.org/officeDocument/2006/relationships/hyperlink" Target="https://www.sec.gov/ix?doc=/Archives/edgar/data/883975/000149315223019871/form8-k.htm" TargetMode="External"/><Relationship Id="rId75" Type="http://schemas.openxmlformats.org/officeDocument/2006/relationships/hyperlink" Target="https://www.sec.gov/ix?doc=/Archives/edgar/data/883975/000149315223020309/form8-k.htm" TargetMode="External"/><Relationship Id="rId76" Type="http://schemas.openxmlformats.org/officeDocument/2006/relationships/hyperlink" Target="https://www.sec.gov/ix?doc=/Archives/edgar/data/883975/000149315223021553/form8-k.htm" TargetMode="External"/><Relationship Id="rId77" Type="http://schemas.openxmlformats.org/officeDocument/2006/relationships/hyperlink" Target="https://www.sec.gov/ix?doc=/Archives/edgar/data/883975/000149315223022078/form8-k.htm" TargetMode="External"/><Relationship Id="rId78" Type="http://schemas.openxmlformats.org/officeDocument/2006/relationships/hyperlink" Target="https://www.sec.gov/ix?doc=/Archives/edgar/data/883975/000149315223022844/form8-k.htm" TargetMode="External"/><Relationship Id="rId79" Type="http://schemas.openxmlformats.org/officeDocument/2006/relationships/hyperlink" Target="https://www.sec.gov/ix?doc=/Archives/edgar/data/883975/000149315223031689/form8-k.htm" TargetMode="External"/><Relationship Id="rId80" Type="http://schemas.openxmlformats.org/officeDocument/2006/relationships/hyperlink" Target="https://www.sec.gov/ix?doc=/Archives/edgar/data/883975/000149315223037454/form8-k.htm" TargetMode="External"/><Relationship Id="rId81" Type="http://schemas.openxmlformats.org/officeDocument/2006/relationships/hyperlink" Target="https://www.sec.gov/ix?doc=/Archives/edgar/data/883975/000149315223037676/form8-k.htm" TargetMode="External"/><Relationship Id="rId82" Type="http://schemas.openxmlformats.org/officeDocument/2006/relationships/hyperlink" Target="https://www.sec.gov/ix?doc=/Archives/edgar/data/883975/000149315223038050/form8-k.htm" TargetMode="External"/><Relationship Id="rId83" Type="http://schemas.openxmlformats.org/officeDocument/2006/relationships/hyperlink" Target="https://www.sec.gov/ix?doc=/Archives/edgar/data/883975/000149315223038792/form8-k.htm" TargetMode="External"/><Relationship Id="rId84" Type="http://schemas.openxmlformats.org/officeDocument/2006/relationships/hyperlink" Target="https://www.sec.gov/ix?doc=/Archives/edgar/data/883975/000149315223039509/form8-k.htm" TargetMode="External"/><Relationship Id="rId85" Type="http://schemas.openxmlformats.org/officeDocument/2006/relationships/hyperlink" Target="https://www.sec.gov/ix?doc=/Archives/edgar/data/883975/000149315223039834/form8-k.htm" TargetMode="External"/><Relationship Id="rId86" Type="http://schemas.openxmlformats.org/officeDocument/2006/relationships/hyperlink" Target="https://www.sec.gov/ix?doc=/Archives/edgar/data/883975/000149315223040331/form8-k.htm" TargetMode="External"/><Relationship Id="rId87" Type="http://schemas.openxmlformats.org/officeDocument/2006/relationships/hyperlink" Target="https://www.sec.gov/ix?doc=/Archives/edgar/data/883975/000149315223041009/form8-k.htm" TargetMode="External"/><Relationship Id="rId88" Type="http://schemas.openxmlformats.org/officeDocument/2006/relationships/hyperlink" Target="https://www.sec.gov/Archives/edgar/data/883975/000149315223042204/form8-k.htm" TargetMode="External"/><Relationship Id="rId89" Type="http://schemas.openxmlformats.org/officeDocument/2006/relationships/hyperlink" Target="https://www.sec.gov/Archives/edgar/data/883975/000149315223033004/form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2024-06-04T07:33:02Z</dcterms:created>
  <dcterms:modified xsi:type="dcterms:W3CDTF">2024-06-04T07:33:02Z</dcterms:modified>
</cp:coreProperties>
</file>