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47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175 Derby St., Bld. 27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Hingham, MA 02043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March 28, 2025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United States Securities and Exchange Commission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100 F. St.,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60"/>
        <w:spacing w:after="0"/>
        <w:tabs>
          <w:tab w:leader="none" w:pos="1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Request for Acceleration of Effectiveness of Registration Statement on Form S-3 (File No. 333-285690)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Ladies and Gentlemen: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firstLine="324"/>
        <w:spacing w:after="0" w:line="26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Rule 461 under the Securities Act of 1933, as amended, Microbot Medical Inc. hereby requests the acceleration of the effective date of the above-referenced Registration Statement on Form S-3 (File No. 333-285690) so that it will become effective on Tuesday, April 1, 2025 at 4:00 p.m., Eastern Time, or as soon thereafter as practicable.</w:t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Very truly yours,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Microbot Medical Inc.</w:t>
      </w: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/s/ Harel Gadot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18415</wp:posOffset>
            </wp:positionV>
            <wp:extent cx="3206115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Harel Gadot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CEO, President and Chairman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280035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441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2025-04-30T23:09:46Z</dcterms:created>
  <dcterms:modified xsi:type="dcterms:W3CDTF">2025-04-30T23:09:46Z</dcterms:modified>
</cp:coreProperties>
</file>