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14,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6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September 14, 2025, Microbot Medical Inc., a Delaware corporation (the “Company”), entered into an inducement agreement (the “Letter Agreement”) with certain holders (the “Holders”) of existing (i) series F preferred investment options to purchase 207,224 shares of the Company’s common stock, par value $0.01 per share (the “Common Stock”), (ii) series G preferred investment options to purchase 628,571 shares of Common Stock, (iii) series H preferred investment options to purchase 4,702,612 shares of Common Stock, and (iv) series I preferred investment options to purchase 8,450,708 shares of Common Stock (together, the “Existing PIOs”). Pursuant to the Letter Agreement, the Holder exercised for cash its Existing PIOs to purchase an aggregate of 13,989,115 shares of Common Stock, at exercise prices ranging from $1.50 to $2.13 per share, in consideration for the Company’s agreement to issue new series J preferred investment options (the “New PIOs”) to purchase up to an aggregate of 13,989,115 shares of Common Stock (the “New PIO Shares”) at an exercise price of $4.50 per share (collectively, the “Inducement Transaction”). The New PIOs will be exercisable beginning six months after issuance and will expire two years thereafter. At the first closing of the Inducement Transaction, which occurred on September 16, 2025, certain Holders exercised Existing PIOs to purchase up to an aggregate of 12,064,627 shares of Common Stock for cash and received New PIOs to purchase up to an aggregate of 12,064,627 shares of Common Stock (the “First Closing”). At the second closing of the Inducement Transaction, which is expected to occur by no later than October 15, 2025, subject to the satisfaction of customary closing conditions, a certain Holder will exercise Existing PIOs to purchase up to an aggregate of 1,924,488 shares of Common Stock for cash at an exercise price of $2.10 per share and will receive New PIOs to purchase up to an aggregate of 1,924,488 shares of Common Stock (the “Second Closing”).</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received gross proceeds of approximately $25.2 million from the exercise of certain Existing PIOs by certain Holders in the First Closing and expects to receive gross proceeds of approximately $4.0 million from the exercise of certain Existing PIOs by a certain Holder in the Second Closing, in each case prior to deducting offering fees and other expenses payable by the Company in connection with the Inducement Transaction. The Company expects to use the net proceeds of these transactions for the continued development, commercialization and regulatory activities for the Company’s</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potential acquisitions of complementary assets or products, expansion and development of additional applications derived from the Company’s existing IP portfolio, and for working capital and other general corporate purposes.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resale of the shares of the Common Stock issuable upon exercise of the Existing PIOs are registered pursuant to the post-effective amendments on Form S-3 to registration statements on Form S-1 (File Nos. 333-280113 and 333-284688) and the registration statement on Form S-3 (File No. 333-285690), declared effective by the SEC on July 3, 2024, April 2, 2025 and April 1, 2025, respectively.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the Letter Agreement, the Company has agreed to certain restrictions on the issuance and sale of its Common Stock or Common Stock Equivalents (as defined in the Letter Agreement) during the 90-day period following the date of the First Closing, subject to certain exceptions. Additionally, the Company agreed not to enter into a variable rate transaction for a period of six months following the date of the First Closing, subject to certain exceptions. The Company also agreed to file a registration statement on Form S-3 (or other appropriate form, including on Form S-1, if the Company is not then S-3 eligible) covering the resale of the New PIO Shares issuable upon the exercise of the New PIOs (the “Resale Registration Statement”), within 30 days of the date of the Letter Agreement, and to use commercially reasonable efforts to have such Resale Registration Statement declared effective by the SEC within 60 days following the date of the Letter Agreement.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29, 2024, the Company entered into an engagement letter, as amended on January 3, 2025 and on February 9, 2025 (as amended, the “Engagement Letter”), with H.C. Wainwright &amp; Co., LLC (“Wainwright”), pursuant to which Wainwright agreed to serve as the exclusive placement agent for the issuance and sale of securities of the Company, including the Inducement Transaction, pursuant to the Letter Agreement. As compensation for such placement agent services, the Company has agreed to pay Wainwright an aggregate cash fee equal to 7.0% of the gross proceeds received by the Company from the Offerings, plus a management fee equal to 1.0% of the gross proceeds received by the Company from the Offerings, a non-accountable expense of $25,000, up to $35,000 for its fees and expenses of legal counsel and $15,950 for clearing expenses. The Company has also issued to Wainwright or its designees at the First Closing preferred investment options to purchase an aggregate of (i) 10,362 shares of Common Stock at an exercise price of $1.875</w:t>
      </w:r>
    </w:p>
    <w:p>
      <w:pPr>
        <w:spacing w:after="0" w:line="3" w:lineRule="exact"/>
        <w:rPr>
          <w:sz w:val="20"/>
          <w:szCs w:val="20"/>
          <w:color w:val="auto"/>
        </w:rPr>
      </w:pPr>
    </w:p>
    <w:p>
      <w:pPr>
        <w:jc w:val="both"/>
        <w:ind w:firstLine="8"/>
        <w:spacing w:after="0" w:line="250"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31,429 shares of Common Stock at an exercise price of $2.1875, (iii) 138,906 shares of Common Stock at an exercise price of $2.625 and (iv) 422,535 shares of Common Stock at an exercise price of $2.6625, and has agreed to issue to Wainwright or its designees and preferred investment options to purchase an aggregate of 96,424 shares of Common Stock at the Second Closing (collectively, the “Inducement Wainwright PIOs”). The Inducement Wainwright PIOs are exercisable on or after the six-month anniversary of the respective issue date, will expire two years from the initial exercise date. The Company also issued to Wainwright or its designees preferred investment options equal to 5.0% of series E, F, G, H and I preferred investment options that were exercised other than in connection with the Letter Agreement, equal to (i) preferred investment options to purchase up to an aggregate of 5,205 shares of Common Stock with a termination date of September 16, 2030 and at an exercise price of $1.875, (ii) preferred investment options to purchase up to an aggregate of 39,167 shares of Common Stock with a termination date of September 16, 2027 and at an exercise price of $1.875, (iii) preferred investment options to purchase up to an aggregate of 363,572 shares of Common Stock with a termination date of September 16, 2027 and at an exercise price of $2.1875, (iv) preferred investment options to purchase up to an aggregate of 143,724 shares of Common Stock with a termination date of September 16, 2027 and at an exercise price of $2.625, and (v) preferred investment options to purchase up to an aggregate of 187,794 shares of Common Stock with a termination date of September 16, 2027 and at an exercise price of $2.6625 (collectively, the “Additional Wainwright PIOs” and, together with the Inducement Wainwright PIOs, the “Wainwright PIOs” and, together with the New PIOs, the “PIOs”), which otherwise have the same terms as the New PIOs, except that they will be exercisable immediately. Further, pursuant to the Engagement Letter, Wainwright is entitled to compensation with respect to any financing of the Company occurring within six months of the termination of the Engagement Letter when such financing is provided by investors whom Wainwright introduced to the Company during the term of the Engagement Letter.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termination of the Engagement Letter. In addition, upon any exercise for cash of any New PIOs issued to investors in the Inducement Transaction, the Company shall pay Wainwright, within five business days of the Company’s receipt of the exercise price, a cash fee of seven percent of the aggregate gross exercise price paid in cash with respect thereto. Also, upon any exercise for cash of any New PIOs issued to investors in the Inducement Transaction, the Company shall issue to Wainwright (or its designees), within five business days of the Company’s receipt of the exercise price, preferred investment options to purchase that number of shares of Common Stock of the Company equal to five percent of the aggregate number of such shares of Common Stock underlying the preferred investment options that have been so exercised. The Engagement Letter also includes indemnification obligations of the Company and other provisions customary for transactions of this nature.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associated person of Wainwright participated in the Inducement Transaction and exercised Existing PIOs to purchase, on the same terms and conditions, an aggregate of 2,306,572 shares of Common Stock for a total exercise price of $4,900,139.28 and received New PIOs to purchase up to 2,306,572 shares of Common Stock.</w:t>
      </w:r>
    </w:p>
    <w:p>
      <w:pPr>
        <w:sectPr>
          <w:pgSz w:w="11900" w:h="16838" w:orient="portrait"/>
          <w:cols w:equalWidth="0" w:num="1">
            <w:col w:w="11240"/>
          </w:cols>
          <w:pgMar w:left="320" w:top="684" w:right="339" w:bottom="0" w:gutter="0" w:footer="0" w:header="0"/>
        </w:sectPr>
      </w:pPr>
    </w:p>
    <w:bookmarkStart w:id="2" w:name="page3"/>
    <w:bookmarkEnd w:id="2"/>
    <w:p>
      <w:pPr>
        <w:jc w:val="both"/>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Terms of the New PIOs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terms and provisions of the New PIOs is not complete and is subject to, and qualified in its entirety by, the provisions of the New PIOs, the form of which is filed as Exhibit 4.1 to this Current Report on Form 8-K and is incorporated herein by reference. The following description of the New PIOs is qualified in its entirety by reference to such exhibit.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Duration and Exercise Price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New PIOs will have an exercise price equal to $4.50 per share. The New PIOs will be exercisable six months after issuance until the two-year anniversary of the initial exercise date. The exercise price and number of New PIO Shares issuable upon exercise of the New PIOs is subject to appropriate adjustment in the event of stock dividends, stock splits, subsequent rights offerings, pro rata distributions, reorganizations, or similar events affecting the Common Stock and the exercise price.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New PIOs will be exercisable, at the option of each holder, in whole or in part, by delivering to the Company a duly executed exercise notice accompanied by payment in full for the number of shares of the Common Stock purchased upon such exercise (except in the case of a cashless exercise as discussed below). A holder (together with its affiliates) may not exercise any portion of such holder’s New PIOs to the extent that the holder would own more than 4.99% (or, at the election of the holder, 9.99%) of the outstanding Common Stock immediately after exercise, except that upon prior notice from the holder to the Company, the holder may increase or decrease the amount of ownership of outstanding stock after exercising the holder’s New PIOs up to 9.99% of the number of shares of the Common Stock outstanding immediately after giving effect to the exercise, as such percentage ownership is determined in accordance with the terms of the New PIOs, provided that any increase will not be effective until 61 days following notice to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Cashless Exercise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at the time a holder exercises its New PIOs, a registration statement registering the resale of the New PIO Shares by the holder under the Securities Act of 1933, as amended (the “Securities Act”) is not then effective or available, then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New PIOs.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Trading Market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established trading market for the New PIOs, and the Company does not expect an active trading market to develop. The Company does not intend to apply to list the New PIOs on any securities exchange or other trading market. Without a trading market, the liquidity of the New PIOs will be extremely limited.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as a Stockholder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the New PIOs or by virtue of the holder’s ownership of shares of the Common Stock, such holder of New PIOs does not have the rights or privileges of a holder of the Common Stock, including any voting rights, until such holder exercises such holder’s New PIOs.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Fundamental Transaction (as defined in the New PIO) occurs, then the successor entity will succeed to, and be substituted for the Company, and may exercise every right and power that the Company may exercise and will assume all of its obligations under the New PIOs with the same effect as if such successor entity had been named in the New PIO itself. If holders of Common Stock are given a choice as to the securities, cash or property to be received in a Fundamental Transaction, then the holder shall be given the same choice as to the consideration it receives upon any exercise of the New PIO following such Fundamental Transaction. As more fully described in the form of New PIO, in the event of certain Fundamental Transactions, the holders of the New PIOs will be entitled to receive consideration in an amount equal to the Black Scholes value of the New PIO on the date of consummation of the transaction.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Waivers and Amendments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PIOs may be modified or amended or the provisions of the New PIOs waived with the Company’s and the holder’s written consent.</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forms of New PIO, Wainwright PIO and Letter Agreement are attached as Exhibits 4.1, 4.2 and 10.1, respectively. The description of the terms of the New PIOs, Wainwright PIOs and Letter Agreement are not intended to be complete and are qualified in its entirety by reference to such exhibits. The Letter Agreement contains customary representations, warranties and covenants by the Company which were made only for the purposes of such agreements and as of specific dates, were solely for the benefit of the parties to such agreements and may be subject to limitations agreed upon by the contracting parties.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issued the New PIOs and the Wainwright PIOs pursuant to the exemption from the registration requirements of the Securities Act available under Section 4(a)(2). Neither the issuance of the New PIOs, the Wainwright PIOs, the New PIO Shares nor the share underlying the Wainwright PIOs have been registered under the Securities Act and such securities may not be offered or sold in the United States absent registration or an exemption from registration under the Securities Act and any applicable state securities laws. The description of the New PIOs and Wainwright PIOs under Item 1.01 of this Form 8-K is incorporated by reference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this Current Report on Form 8-K nor any exhibit attached hereto is an offer to sell or the solicitation of an offer to buy securities of the Company.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8, 2025, the Company issued 225,000 shares of Common Stock upon the exercise of a like number of Series H preferred investment options (the “Series H Options”) by the holders of such options. The exercise price per share of the Series H options was $2.10, generating gross proceeds to the Company, before deducting placement agent fees and expenses, of $472,500. The shares issued upon exercise of the 225,000 Series H Options were issued pursuant to the exemption provided in Section 4(a)(2) under the Securities Act of 1933, as amended, as transactions by an issuer not involving any public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15, 2025, the Company issued a press release announcing the transactions contemplated by the Letter Agreement. On September 16, 2025, the Company issued a press release announcing the First Closing of the transactions. Copies of the press releases are attached as Exhibits 99.1 and 99.2 hereto.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120" w:type="dxa"/>
            <w:vAlign w:val="bottom"/>
          </w:tcPr>
          <w:p>
            <w:pPr>
              <w:spacing w:after="0"/>
              <w:rPr>
                <w:sz w:val="18"/>
                <w:szCs w:val="18"/>
                <w:color w:val="auto"/>
              </w:rPr>
            </w:pPr>
          </w:p>
        </w:tc>
        <w:tc>
          <w:tcPr>
            <w:tcW w:w="10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34"/>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r>
      <w:tr>
        <w:trPr>
          <w:trHeight w:val="169"/>
        </w:trPr>
        <w:tc>
          <w:tcPr>
            <w:tcW w:w="8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280" w:type="dxa"/>
            <w:vAlign w:val="bottom"/>
            <w:tcBorders>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9"/>
              </w:rPr>
              <w:t>Form of Series J Preferred Investment Option</w:t>
            </w:r>
          </w:p>
        </w:tc>
        <w:tc>
          <w:tcPr>
            <w:tcW w:w="6980" w:type="dxa"/>
            <w:vAlign w:val="bottom"/>
            <w:gridSpan w:val="2"/>
          </w:tcPr>
          <w:p>
            <w:pPr>
              <w:spacing w:after="0"/>
              <w:rPr>
                <w:sz w:val="14"/>
                <w:szCs w:val="14"/>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8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Form of Wainwright PIO</w:t>
            </w:r>
          </w:p>
        </w:tc>
        <w:tc>
          <w:tcPr>
            <w:tcW w:w="8460" w:type="dxa"/>
            <w:vAlign w:val="bottom"/>
            <w:gridSpan w:val="4"/>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9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Letter Agreement</w:t>
            </w:r>
          </w:p>
        </w:tc>
        <w:tc>
          <w:tcPr>
            <w:tcW w:w="8360" w:type="dxa"/>
            <w:vAlign w:val="bottom"/>
            <w:gridSpan w:val="3"/>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41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of the Company, dated September 15, 2025</w:t>
            </w:r>
          </w:p>
        </w:tc>
        <w:tc>
          <w:tcPr>
            <w:tcW w:w="6120" w:type="dxa"/>
            <w:vAlign w:val="bottom"/>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7"/>
                <w:szCs w:val="17"/>
                <w:color w:val="auto"/>
              </w:rPr>
            </w:pPr>
          </w:p>
        </w:tc>
        <w:tc>
          <w:tcPr>
            <w:tcW w:w="41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of the Company, dated September 16, 2025</w:t>
            </w:r>
          </w:p>
        </w:tc>
        <w:tc>
          <w:tcPr>
            <w:tcW w:w="6120" w:type="dxa"/>
            <w:vAlign w:val="bottom"/>
          </w:tcPr>
          <w:p>
            <w:pPr>
              <w:spacing w:after="0"/>
              <w:rPr>
                <w:sz w:val="17"/>
                <w:szCs w:val="17"/>
                <w:color w:val="auto"/>
              </w:rPr>
            </w:pPr>
          </w:p>
        </w:tc>
      </w:tr>
      <w:tr>
        <w:trPr>
          <w:trHeight w:val="23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ind w:left="102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J PREFERRED INVESTMENT OPTION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ectPr>
          <w:pgSz w:w="11900" w:h="16838" w:orient="portrait"/>
          <w:cols w:equalWidth="0" w:num="1">
            <w:col w:w="11240"/>
          </w:cols>
          <w:pgMar w:left="320" w:top="333"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Investment Option Shares: _____________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September ___,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Exercise Date: March ___, 2026</w:t>
      </w:r>
    </w:p>
    <w:p>
      <w:pPr>
        <w:spacing w:after="0" w:line="200" w:lineRule="exact"/>
        <w:rPr>
          <w:sz w:val="20"/>
          <w:szCs w:val="20"/>
          <w:color w:val="auto"/>
        </w:rPr>
      </w:pPr>
    </w:p>
    <w:p>
      <w:pPr>
        <w:sectPr>
          <w:pgSz w:w="11900" w:h="16838" w:orient="portrait"/>
          <w:cols w:equalWidth="0" w:num="2">
            <w:col w:w="5020" w:space="720"/>
            <w:col w:w="5500"/>
          </w:cols>
          <w:pgMar w:left="320" w:top="333" w:right="339" w:bottom="144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SERIES J PREFERRED INVESTMENT OPTION (the “</w:t>
      </w:r>
      <w:r>
        <w:rPr>
          <w:rFonts w:ascii="Times New Roman" w:cs="Times New Roman" w:eastAsia="Times New Roman" w:hAnsi="Times New Roman"/>
          <w:sz w:val="18"/>
          <w:szCs w:val="18"/>
          <w:u w:val="single" w:color="auto"/>
          <w:color w:val="auto"/>
        </w:rPr>
        <w:t>Preferred Investment Option</w:t>
      </w:r>
      <w:r>
        <w:rPr>
          <w:rFonts w:ascii="Times New Roman" w:cs="Times New Roman" w:eastAsia="Times New Roman" w:hAnsi="Times New Roman"/>
          <w:sz w:val="18"/>
          <w:szCs w:val="18"/>
          <w:color w:val="auto"/>
        </w:rPr>
        <w:t>”) certifies that, for value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w:t>
      </w:r>
    </w:p>
    <w:p>
      <w:pPr>
        <w:spacing w:after="0" w:line="192" w:lineRule="auto"/>
        <w:rPr>
          <w:sz w:val="20"/>
          <w:szCs w:val="20"/>
          <w:color w:val="auto"/>
        </w:rPr>
      </w:pPr>
      <w:r>
        <w:rPr>
          <w:rFonts w:ascii="Times New Roman" w:cs="Times New Roman" w:eastAsia="Times New Roman" w:hAnsi="Times New Roman"/>
          <w:sz w:val="18"/>
          <w:szCs w:val="18"/>
          <w:color w:val="auto"/>
        </w:rPr>
        <w:t>any time on or after March ___, 2026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______</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(as subject to</w:t>
      </w:r>
    </w:p>
    <w:p>
      <w:pPr>
        <w:spacing w:after="0" w:line="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adjustment hereunder, the “</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of Common Stock. The purchase price of one share of Common Stock under this Preferred Investment Option shall be equal to the Exercise Price, as defined in Section 2(b).</w:t>
      </w:r>
    </w:p>
    <w:p>
      <w:pPr>
        <w:spacing w:after="0" w:line="18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Preferred Investment Option, the following terms have the meanings indicated in this Section 1:</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3" w:lineRule="exact"/>
        <w:rPr>
          <w:sz w:val="20"/>
          <w:szCs w:val="20"/>
          <w:color w:val="auto"/>
        </w:rPr>
      </w:pPr>
    </w:p>
    <w:p>
      <w:pPr>
        <w:ind w:right="20" w:firstLine="8"/>
        <w:spacing w:after="0" w:line="195" w:lineRule="auto"/>
        <w:tabs>
          <w:tab w:leader="none" w:pos="142"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date that is the two (2) year anniversary of the Initial Exercise Date, provided that, if such date is not a Trading Day, the date that is the immediately following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7" w:name="page8"/>
    <w:bookmarkEnd w:id="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means that certain letter agreement between the initial Holder hereof and the Company, dated as of September 14, 2025, pursuant to which such initial Holder agreed to exercise one or more preferred investment options to purchase shares of Common Stock and the Company agreed to issue to the initial Holder this Preferred Investment Option.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Investment Options</w:t>
      </w:r>
      <w:r>
        <w:rPr>
          <w:rFonts w:ascii="Times New Roman" w:cs="Times New Roman" w:eastAsia="Times New Roman" w:hAnsi="Times New Roman"/>
          <w:sz w:val="18"/>
          <w:szCs w:val="18"/>
          <w:color w:val="auto"/>
        </w:rPr>
        <w:t>” means this Preferred Investment Option and other preferred investment options issued by the Company pursuant to the Letter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VStock Transfer, LLC, the current transfer agent of the Company, and any successor transfer agent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2" w:lineRule="auto"/>
        <w:tabs>
          <w:tab w:leader="none" w:pos="150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Preferred Investment Option</w:t>
      </w:r>
      <w:r>
        <w:rPr>
          <w:rFonts w:ascii="Times New Roman" w:cs="Times New Roman" w:eastAsia="Times New Roman" w:hAnsi="Times New Roman"/>
          <w:sz w:val="18"/>
          <w:szCs w:val="18"/>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any assignee, by acceptance of this Preferred Investment Option, 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ind w:right="20" w:firstLine="644"/>
        <w:spacing w:after="0" w:line="286" w:lineRule="auto"/>
        <w:tabs>
          <w:tab w:leader="none" w:pos="8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Preferred Investment Option shall be </w:t>
      </w:r>
      <w:r>
        <w:rPr>
          <w:rFonts w:ascii="Times New Roman" w:cs="Times New Roman" w:eastAsia="Times New Roman" w:hAnsi="Times New Roman"/>
          <w:sz w:val="18"/>
          <w:szCs w:val="18"/>
          <w:b w:val="1"/>
          <w:bCs w:val="1"/>
          <w:color w:val="auto"/>
        </w:rPr>
        <w:t>$4.50</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80" w:lineRule="exact"/>
        <w:rPr>
          <w:sz w:val="20"/>
          <w:szCs w:val="20"/>
          <w:color w:val="auto"/>
        </w:rPr>
      </w:pPr>
    </w:p>
    <w:p>
      <w:pPr>
        <w:ind w:left="1300" w:hanging="656"/>
        <w:spacing w:after="0" w:line="253" w:lineRule="auto"/>
        <w:tabs>
          <w:tab w:leader="none" w:pos="10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4" w:lineRule="exact"/>
        <w:rPr>
          <w:rFonts w:ascii="Times New Roman" w:cs="Times New Roman" w:eastAsia="Times New Roman" w:hAnsi="Times New Roman"/>
          <w:sz w:val="18"/>
          <w:szCs w:val="18"/>
          <w:color w:val="auto"/>
        </w:rPr>
      </w:pPr>
    </w:p>
    <w:p>
      <w:pPr>
        <w:ind w:left="1080" w:hanging="436"/>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Preferred Investment Option, as adjusted hereunder; and</w:t>
      </w:r>
    </w:p>
    <w:p>
      <w:pPr>
        <w:spacing w:after="0" w:line="225" w:lineRule="exact"/>
        <w:rPr>
          <w:sz w:val="20"/>
          <w:szCs w:val="20"/>
          <w:color w:val="auto"/>
        </w:rPr>
      </w:pPr>
    </w:p>
    <w:p>
      <w:pPr>
        <w:ind w:left="1300" w:hanging="656"/>
        <w:spacing w:after="0" w:line="266" w:lineRule="auto"/>
        <w:tabs>
          <w:tab w:leader="none" w:pos="10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2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Preferred Investment Options then outstanding and reasonably acceptable to the Company, the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271780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57" w:right="339" w:bottom="1440" w:gutter="0" w:footer="0" w:header="0"/>
        </w:sectPr>
      </w:pPr>
    </w:p>
    <w:bookmarkStart w:id="10" w:name="page11"/>
    <w:bookmarkEnd w:id="1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Preferred Investment Options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180" w:lineRule="exact"/>
        <w:rPr>
          <w:sz w:val="20"/>
          <w:szCs w:val="20"/>
          <w:color w:val="auto"/>
        </w:rPr>
      </w:pPr>
    </w:p>
    <w:p>
      <w:pPr>
        <w:ind w:left="840" w:hanging="196"/>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170"/>
        <w:spacing w:after="0" w:line="251"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Preferred Investment Option Shares Upon Exercise</w:t>
      </w:r>
      <w:r>
        <w:rPr>
          <w:rFonts w:ascii="Times New Roman" w:cs="Times New Roman" w:eastAsia="Times New Roman" w:hAnsi="Times New Roman"/>
          <w:sz w:val="18"/>
          <w:szCs w:val="18"/>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Preferred Investment Option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3" w:lineRule="exact"/>
        <w:rPr>
          <w:rFonts w:ascii="Times New Roman" w:cs="Times New Roman" w:eastAsia="Times New Roman" w:hAnsi="Times New Roman"/>
          <w:sz w:val="18"/>
          <w:szCs w:val="18"/>
          <w:color w:val="auto"/>
        </w:rPr>
      </w:pPr>
    </w:p>
    <w:p>
      <w:pPr>
        <w:jc w:val="both"/>
        <w:ind w:left="1300" w:firstLine="640"/>
        <w:spacing w:after="0" w:line="256" w:lineRule="auto"/>
        <w:tabs>
          <w:tab w:leader="none" w:pos="2138"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Preferred Investment Options Upon Exercise</w:t>
      </w:r>
      <w:r>
        <w:rPr>
          <w:rFonts w:ascii="Times New Roman" w:cs="Times New Roman" w:eastAsia="Times New Roman" w:hAnsi="Times New Roman"/>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267970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1" w:name="page12"/>
    <w:bookmarkEnd w:id="11"/>
    <w:p>
      <w:pPr>
        <w:jc w:val="both"/>
        <w:ind w:left="840" w:firstLine="640"/>
        <w:spacing w:after="0" w:line="266" w:lineRule="auto"/>
        <w:tabs>
          <w:tab w:leader="none" w:pos="17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3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Preferred Investment Option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w:t>
      </w:r>
    </w:p>
    <w:p>
      <w:pPr>
        <w:spacing w:after="0" w:line="2" w:lineRule="exact"/>
        <w:rPr>
          <w:rFonts w:ascii="Times New Roman" w:cs="Times New Roman" w:eastAsia="Times New Roman" w:hAnsi="Times New Roman"/>
          <w:sz w:val="18"/>
          <w:szCs w:val="18"/>
          <w:color w:val="auto"/>
        </w:rPr>
      </w:pPr>
    </w:p>
    <w:p>
      <w:pPr>
        <w:jc w:val="both"/>
        <w:ind w:left="840" w:hanging="8"/>
        <w:spacing w:after="0" w:line="251" w:lineRule="auto"/>
        <w:tabs>
          <w:tab w:leader="none" w:pos="11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total purchase price (including reasonable and customary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0"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2" w:name="page13"/>
    <w:bookmarkEnd w:id="12"/>
    <w:p>
      <w:pPr>
        <w:jc w:val="both"/>
        <w:ind w:left="1300" w:firstLine="640"/>
        <w:spacing w:after="0" w:line="253" w:lineRule="auto"/>
        <w:tabs>
          <w:tab w:leader="none" w:pos="217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94" w:lineRule="exact"/>
        <w:rPr>
          <w:rFonts w:ascii="Times New Roman" w:cs="Times New Roman" w:eastAsia="Times New Roman" w:hAnsi="Times New Roman"/>
          <w:sz w:val="18"/>
          <w:szCs w:val="18"/>
          <w:color w:val="auto"/>
        </w:rPr>
      </w:pPr>
    </w:p>
    <w:p>
      <w:pPr>
        <w:ind w:left="1300" w:firstLine="640"/>
        <w:spacing w:after="0" w:line="282" w:lineRule="auto"/>
        <w:tabs>
          <w:tab w:leader="none" w:pos="222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Preferred Investment Option, pursuant to the terms hereof.</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833"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[9.99%]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2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276225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that this Preferred Investment Option is outstanding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267970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4" w:name="page15"/>
    <w:bookmarkEnd w:id="14"/>
    <w:p>
      <w:pPr>
        <w:jc w:val="both"/>
        <w:ind w:left="4" w:firstLine="644"/>
        <w:spacing w:after="0" w:line="266" w:lineRule="auto"/>
        <w:tabs>
          <w:tab w:leader="none" w:pos="84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Preferred Investment Option is outstanding, (i) the Company, directly or indirectly, in one or more related transactions effects any merger or consolidation of the Company with or into another Person (other than solely for the purpose of changing the Company’s name and/or the jurisdiction of incorporation of the Company or a holding company for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volatility for the remaining exercise period as obtained from the HVT function on Bloomberg (determined utilizing a 365 day annualization factor) as of the Trading Day immediately following the public announcement of the applicable Fundamental Transaction, (C) the underlying price per share used in such calculation shall be the share price on the day of completion of the transaction (D) a remaining option time equal to the time between the date of the public announcement of the applicable Fundamental Transaction and the Termination Date. The payment of the Black Scholes Value will be made by wire transfer of immediately available funds (or such other consideration) within the later of</w:t>
      </w:r>
    </w:p>
    <w:p>
      <w:pPr>
        <w:spacing w:after="0" w:line="200" w:lineRule="exact"/>
        <w:rPr>
          <w:rFonts w:ascii="Times New Roman" w:cs="Times New Roman" w:eastAsia="Times New Roman" w:hAnsi="Times New Roman"/>
          <w:sz w:val="17"/>
          <w:szCs w:val="17"/>
          <w:color w:val="auto"/>
        </w:rPr>
      </w:pPr>
    </w:p>
    <w:p>
      <w:pPr>
        <w:spacing w:after="0" w:line="220"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2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Preferred Investment Option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with the same effect as if the Company and such Successor Entity or Successor Entities, jointly and severally, had been named as the Company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268605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5" w:name="page16"/>
    <w:bookmarkEnd w:id="15"/>
    <w:p>
      <w:pPr>
        <w:jc w:val="both"/>
        <w:ind w:firstLine="644"/>
        <w:spacing w:after="0" w:line="266" w:lineRule="auto"/>
        <w:tabs>
          <w:tab w:leader="none" w:pos="8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800" w:hanging="156"/>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61" w:lineRule="auto"/>
        <w:tabs>
          <w:tab w:leader="none" w:pos="208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1300" w:firstLine="640"/>
        <w:spacing w:after="0" w:line="252" w:lineRule="auto"/>
        <w:tabs>
          <w:tab w:leader="none" w:pos="216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Times New Roman" w:cs="Times New Roman" w:eastAsia="Times New Roman" w:hAnsi="Times New Roman"/>
          <w:sz w:val="18"/>
          <w:szCs w:val="18"/>
          <w:u w:val="single" w:color="auto"/>
          <w:color w:val="auto"/>
        </w:rPr>
        <w:t>Section 3(f)(ii)</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Preferred Investment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274320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6" w:name="page17"/>
    <w:bookmarkEnd w:id="16"/>
    <w:p>
      <w:pPr>
        <w:jc w:val="both"/>
        <w:ind w:left="-460" w:firstLine="644"/>
        <w:spacing w:after="0" w:line="254" w:lineRule="auto"/>
        <w:tabs>
          <w:tab w:leader="none" w:pos="3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Preferred Investment Options</w:t>
      </w:r>
      <w:r>
        <w:rPr>
          <w:rFonts w:ascii="Times New Roman" w:cs="Times New Roman" w:eastAsia="Times New Roman" w:hAnsi="Times New Roman"/>
          <w:sz w:val="18"/>
          <w:szCs w:val="18"/>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The Company shall register this Preferred Investment Option, upon records to be maintained by the Company for that purpose (the “</w:t>
      </w: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provides to the Company an opinion of counsel, the form and substance of which opinion shall be reasonably satisfactory to the Company, to the effect that the transfer of this Preferred Investment Option does not require registration under the Securities Act.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3"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Preferred Investment Option</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7"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269240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8" w:name="page19"/>
    <w:bookmarkEnd w:id="18"/>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9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left="-460" w:firstLine="644"/>
        <w:spacing w:after="0" w:line="252" w:lineRule="auto"/>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Preferred Investment Option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Preferred Investment Option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Preferred Investment Option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Preferred Investment Option,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272415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9" w:name="page20"/>
    <w:bookmarkEnd w:id="19"/>
    <w:p>
      <w:pPr>
        <w:jc w:val="both"/>
        <w:ind w:left="-460" w:firstLine="644"/>
        <w:spacing w:after="0" w:line="266"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Letter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1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___________, Attention: </w:t>
      </w:r>
      <w:r>
        <w:rPr>
          <w:rFonts w:ascii="Times New Roman" w:cs="Times New Roman" w:eastAsia="Times New Roman" w:hAnsi="Times New Roman"/>
          <w:sz w:val="18"/>
          <w:szCs w:val="18"/>
          <w:b w:val="1"/>
          <w:bCs w:val="1"/>
          <w:color w:val="auto"/>
        </w:rPr>
        <w:t>___________</w:t>
      </w:r>
      <w:r>
        <w:rPr>
          <w:rFonts w:ascii="Times New Roman" w:cs="Times New Roman" w:eastAsia="Times New Roman" w:hAnsi="Times New Roman"/>
          <w:sz w:val="18"/>
          <w:szCs w:val="18"/>
          <w:color w:val="auto"/>
        </w:rPr>
        <w:t>, email address: ___________,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0" w:name="page21"/>
    <w:bookmarkEnd w:id="20"/>
    <w:p>
      <w:pPr>
        <w:jc w:val="both"/>
        <w:ind w:left="-460" w:firstLine="644"/>
        <w:spacing w:after="0" w:line="261" w:lineRule="auto"/>
        <w:tabs>
          <w:tab w:leader="none" w:pos="38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2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3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Preferred Investment Option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3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Preferred Investment Option are for the convenience of reference only and shall not, for any purpose, be deemed a part of this Preferred Investment Option.</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38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Electronically scanned and transmitted signatures, including by email attachment, shall be deemed originals for all purposes of this Warrant.</w:t>
      </w:r>
    </w:p>
    <w:p>
      <w:pPr>
        <w:spacing w:after="0" w:line="1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1" w:name="page22"/>
    <w:bookmarkEnd w:id="21"/>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Preferred Investment Option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MICROBOT MEDICAL INC.</w:t>
      </w:r>
    </w:p>
    <w:p>
      <w:pPr>
        <w:spacing w:after="0" w:line="337" w:lineRule="exact"/>
        <w:rPr>
          <w:sz w:val="20"/>
          <w:szCs w:val="20"/>
          <w:color w:val="auto"/>
        </w:rPr>
      </w:pPr>
    </w:p>
    <w:p>
      <w:pPr>
        <w:jc w:val="both"/>
        <w:ind w:firstLine="1304"/>
        <w:spacing w:after="0" w:line="266" w:lineRule="auto"/>
        <w:tabs>
          <w:tab w:leader="none" w:pos="15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75" w:lineRule="exact"/>
        <w:rPr>
          <w:sz w:val="20"/>
          <w:szCs w:val="20"/>
          <w:color w:val="auto"/>
        </w:rPr>
      </w:pPr>
    </w:p>
    <w:p>
      <w:pPr>
        <w:ind w:left="1560" w:hanging="256"/>
        <w:spacing w:after="0"/>
        <w:tabs>
          <w:tab w:leader="none" w:pos="1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Preferred Investment Option Shares in the name of the undersigned or in such other name as is specified below:</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Investment Option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5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(Please Print)</w:t>
            </w:r>
          </w:p>
        </w:tc>
        <w:tc>
          <w:tcPr>
            <w:tcW w:w="0" w:type="dxa"/>
            <w:vAlign w:val="bottom"/>
          </w:tcPr>
          <w:p>
            <w:pPr>
              <w:spacing w:after="0"/>
              <w:rPr>
                <w:sz w:val="1"/>
                <w:szCs w:val="1"/>
                <w:color w:val="auto"/>
              </w:rPr>
            </w:pPr>
          </w:p>
        </w:tc>
      </w:tr>
      <w:tr>
        <w:trPr>
          <w:trHeight w:val="191"/>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Address:</w:t>
            </w:r>
          </w:p>
        </w:tc>
        <w:tc>
          <w:tcPr>
            <w:tcW w:w="5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40" w:type="dxa"/>
            <w:vAlign w:val="bottom"/>
            <w:vMerge w:val="continue"/>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(Please Print)</w:t>
            </w:r>
          </w:p>
        </w:tc>
        <w:tc>
          <w:tcPr>
            <w:tcW w:w="0" w:type="dxa"/>
            <w:vAlign w:val="bottom"/>
          </w:tcPr>
          <w:p>
            <w:pPr>
              <w:spacing w:after="0"/>
              <w:rPr>
                <w:sz w:val="1"/>
                <w:szCs w:val="1"/>
                <w:color w:val="auto"/>
              </w:rPr>
            </w:pPr>
          </w:p>
        </w:tc>
      </w:tr>
      <w:tr>
        <w:trPr>
          <w:trHeight w:val="41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5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5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 ________________________</w:t>
            </w: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 ________________________</w:t>
            </w: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24" w:name="page25"/>
    <w:bookmarkEnd w:id="24"/>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PREFERRED INVESTMENT OPTION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Investment Option Shares: 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Initial Exercise Date: ___________</w:t>
      </w:r>
    </w:p>
    <w:p>
      <w:pPr>
        <w:spacing w:after="0" w:line="200" w:lineRule="exact"/>
        <w:rPr>
          <w:sz w:val="20"/>
          <w:szCs w:val="20"/>
          <w:color w:val="auto"/>
        </w:rPr>
      </w:pPr>
    </w:p>
    <w:p>
      <w:pPr>
        <w:sectPr>
          <w:pgSz w:w="11900" w:h="16838" w:orient="portrait"/>
          <w:cols w:equalWidth="0" w:num="2">
            <w:col w:w="6040" w:space="720"/>
            <w:col w:w="4480"/>
          </w:cols>
          <w:pgMar w:left="320" w:top="333" w:right="339" w:bottom="1440" w:gutter="0" w:footer="0" w:header="0"/>
          <w:type w:val="continuous"/>
        </w:sectPr>
      </w:pPr>
    </w:p>
    <w:p>
      <w:pPr>
        <w:spacing w:after="0" w:line="23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PLACEMENT AGENT PREFERRED INVESTMENT OPTION (the “</w:t>
      </w:r>
      <w:r>
        <w:rPr>
          <w:rFonts w:ascii="Times New Roman" w:cs="Times New Roman" w:eastAsia="Times New Roman" w:hAnsi="Times New Roman"/>
          <w:sz w:val="18"/>
          <w:szCs w:val="18"/>
          <w:u w:val="single" w:color="auto"/>
          <w:color w:val="auto"/>
        </w:rPr>
        <w:t>Preferred Investment Option</w:t>
      </w:r>
      <w:r>
        <w:rPr>
          <w:rFonts w:ascii="Times New Roman" w:cs="Times New Roman" w:eastAsia="Times New Roman" w:hAnsi="Times New Roman"/>
          <w:sz w:val="18"/>
          <w:szCs w:val="18"/>
          <w:color w:val="auto"/>
        </w:rPr>
        <w:t>”) certifies that, for value received, 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w:t>
      </w:r>
    </w:p>
    <w:p>
      <w:pPr>
        <w:spacing w:after="0"/>
        <w:rPr>
          <w:sz w:val="20"/>
          <w:szCs w:val="20"/>
          <w:color w:val="auto"/>
        </w:rPr>
      </w:pPr>
      <w:r>
        <w:rPr>
          <w:rFonts w:ascii="Times New Roman" w:cs="Times New Roman" w:eastAsia="Times New Roman" w:hAnsi="Times New Roman"/>
          <w:sz w:val="18"/>
          <w:szCs w:val="18"/>
          <w:color w:val="auto"/>
        </w:rPr>
        <w:t>set forth, at any time on or after ___________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______ (the “</w:t>
      </w:r>
      <w:r>
        <w:rPr>
          <w:rFonts w:ascii="Times New Roman" w:cs="Times New Roman" w:eastAsia="Times New Roman" w:hAnsi="Times New Roman"/>
          <w:sz w:val="18"/>
          <w:szCs w:val="18"/>
          <w:u w:val="single" w:color="auto"/>
          <w:color w:val="auto"/>
        </w:rPr>
        <w:t>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(as</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adjustment hereunder, the “</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of Common Stock. The purchase price of one share of Common Stock under this Preferred Investment Option shall be equal to the Exercise Price, as defined in Section 2(b). This Preferred Investment Option is being issued pursuant to that certain Engagement Agreement between the Company and H.C. Wainwright &amp; Co., LLC, dated as of May 29, 2024, as amended on January 3, 2025 and February 9, 2025 (the “</w:t>
      </w:r>
      <w:r>
        <w:rPr>
          <w:rFonts w:ascii="Times New Roman" w:cs="Times New Roman" w:eastAsia="Times New Roman" w:hAnsi="Times New Roman"/>
          <w:sz w:val="18"/>
          <w:szCs w:val="18"/>
          <w:u w:val="single" w:color="auto"/>
          <w:color w:val="auto"/>
        </w:rPr>
        <w:t>Engagement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5" w:name="page26"/>
    <w:bookmarkEnd w:id="25"/>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Preferred Investment Option, the following terms have the meanings indicated in this Section 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Investment Options</w:t>
      </w:r>
      <w:r>
        <w:rPr>
          <w:rFonts w:ascii="Times New Roman" w:cs="Times New Roman" w:eastAsia="Times New Roman" w:hAnsi="Times New Roman"/>
          <w:sz w:val="18"/>
          <w:szCs w:val="18"/>
          <w:color w:val="auto"/>
        </w:rPr>
        <w:t>” means this Preferred Investment Option and other preferred investment options issued by the Company pursuant to the Engagement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VStock Transfer, LLC, the current transfer agent of the Company, and any successor transfer agent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2" w:lineRule="auto"/>
        <w:tabs>
          <w:tab w:leader="none" w:pos="150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Preferred Investment Option</w:t>
      </w:r>
      <w:r>
        <w:rPr>
          <w:rFonts w:ascii="Times New Roman" w:cs="Times New Roman" w:eastAsia="Times New Roman" w:hAnsi="Times New Roman"/>
          <w:sz w:val="18"/>
          <w:szCs w:val="18"/>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any assignee, by acceptance of this Preferred Investment Option, 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ind w:left="-460" w:firstLine="644"/>
        <w:spacing w:after="0" w:line="286" w:lineRule="auto"/>
        <w:tabs>
          <w:tab w:leader="none" w:pos="3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Preferred Investment Option shall be </w:t>
      </w:r>
      <w:r>
        <w:rPr>
          <w:rFonts w:ascii="Times New Roman" w:cs="Times New Roman" w:eastAsia="Times New Roman" w:hAnsi="Times New Roman"/>
          <w:sz w:val="18"/>
          <w:szCs w:val="18"/>
          <w:b w:val="1"/>
          <w:bCs w:val="1"/>
          <w:color w:val="auto"/>
        </w:rPr>
        <w:t>$____</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7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80" w:lineRule="exact"/>
        <w:rPr>
          <w:sz w:val="20"/>
          <w:szCs w:val="20"/>
          <w:color w:val="auto"/>
        </w:rPr>
      </w:pPr>
    </w:p>
    <w:p>
      <w:pPr>
        <w:ind w:left="700" w:hanging="516"/>
        <w:spacing w:after="0" w:line="253" w:lineRule="auto"/>
        <w:tabs>
          <w:tab w:leader="none" w:pos="51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4"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Preferred Investment Option, as adjusted hereunder; and</w:t>
      </w:r>
    </w:p>
    <w:p>
      <w:pPr>
        <w:spacing w:after="0" w:line="225" w:lineRule="exact"/>
        <w:rPr>
          <w:sz w:val="20"/>
          <w:szCs w:val="20"/>
          <w:color w:val="auto"/>
        </w:rPr>
      </w:pPr>
    </w:p>
    <w:p>
      <w:pPr>
        <w:ind w:left="700" w:hanging="516"/>
        <w:spacing w:after="0" w:line="266" w:lineRule="auto"/>
        <w:tabs>
          <w:tab w:leader="none" w:pos="51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328930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57" w:right="339" w:bottom="1440" w:gutter="0" w:footer="0" w:header="0"/>
        </w:sectPr>
      </w:pPr>
    </w:p>
    <w:bookmarkStart w:id="28" w:name="page29"/>
    <w:bookmarkEnd w:id="28"/>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Preferred Investment Options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Preferred Investment Options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262890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29" w:name="page30"/>
    <w:bookmarkEnd w:id="29"/>
    <w:p>
      <w:pPr>
        <w:ind w:left="380" w:hanging="196"/>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51" w:lineRule="auto"/>
        <w:tabs>
          <w:tab w:leader="none" w:pos="162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Preferred Investment Option Shares Upon Exercise</w:t>
      </w:r>
      <w:r>
        <w:rPr>
          <w:rFonts w:ascii="Times New Roman" w:cs="Times New Roman" w:eastAsia="Times New Roman" w:hAnsi="Times New Roman"/>
          <w:sz w:val="18"/>
          <w:szCs w:val="18"/>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Preferred Investment Option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3" w:lineRule="exact"/>
        <w:rPr>
          <w:rFonts w:ascii="Times New Roman" w:cs="Times New Roman" w:eastAsia="Times New Roman" w:hAnsi="Times New Roman"/>
          <w:sz w:val="18"/>
          <w:szCs w:val="18"/>
          <w:color w:val="auto"/>
        </w:rPr>
      </w:pPr>
    </w:p>
    <w:p>
      <w:pPr>
        <w:jc w:val="both"/>
        <w:ind w:left="840" w:firstLine="640"/>
        <w:spacing w:after="0" w:line="256" w:lineRule="auto"/>
        <w:tabs>
          <w:tab w:leader="none" w:pos="167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Preferred Investment Options Upon Exercise</w:t>
      </w:r>
      <w:r>
        <w:rPr>
          <w:rFonts w:ascii="Times New Roman" w:cs="Times New Roman" w:eastAsia="Times New Roman" w:hAnsi="Times New Roman"/>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267970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30" w:name="page31"/>
    <w:bookmarkEnd w:id="30"/>
    <w:p>
      <w:pPr>
        <w:jc w:val="both"/>
        <w:ind w:left="840" w:firstLine="640"/>
        <w:spacing w:after="0" w:line="266" w:lineRule="auto"/>
        <w:tabs>
          <w:tab w:leader="none" w:pos="17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3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Preferred Investment Option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w:t>
      </w:r>
    </w:p>
    <w:p>
      <w:pPr>
        <w:spacing w:after="0" w:line="2" w:lineRule="exact"/>
        <w:rPr>
          <w:rFonts w:ascii="Times New Roman" w:cs="Times New Roman" w:eastAsia="Times New Roman" w:hAnsi="Times New Roman"/>
          <w:sz w:val="18"/>
          <w:szCs w:val="18"/>
          <w:color w:val="auto"/>
        </w:rPr>
      </w:pPr>
    </w:p>
    <w:p>
      <w:pPr>
        <w:jc w:val="both"/>
        <w:ind w:left="840" w:hanging="8"/>
        <w:spacing w:after="0" w:line="251" w:lineRule="auto"/>
        <w:tabs>
          <w:tab w:leader="none" w:pos="112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total purchase price (including reasonable and customary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0"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31" w:name="page32"/>
    <w:bookmarkEnd w:id="31"/>
    <w:p>
      <w:pPr>
        <w:jc w:val="both"/>
        <w:ind w:left="1300" w:firstLine="640"/>
        <w:spacing w:after="0" w:line="253" w:lineRule="auto"/>
        <w:tabs>
          <w:tab w:leader="none" w:pos="217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94" w:lineRule="exact"/>
        <w:rPr>
          <w:rFonts w:ascii="Times New Roman" w:cs="Times New Roman" w:eastAsia="Times New Roman" w:hAnsi="Times New Roman"/>
          <w:sz w:val="18"/>
          <w:szCs w:val="18"/>
          <w:color w:val="auto"/>
        </w:rPr>
      </w:pPr>
    </w:p>
    <w:p>
      <w:pPr>
        <w:ind w:left="1300" w:firstLine="640"/>
        <w:spacing w:after="0" w:line="282" w:lineRule="auto"/>
        <w:tabs>
          <w:tab w:leader="none" w:pos="222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Preferred Investment Option, pursuant to the terms hereof.</w:t>
      </w:r>
    </w:p>
    <w:p>
      <w:pPr>
        <w:spacing w:after="0" w:line="161" w:lineRule="exact"/>
        <w:rPr>
          <w:rFonts w:ascii="Times New Roman" w:cs="Times New Roman" w:eastAsia="Times New Roman" w:hAnsi="Times New Roman"/>
          <w:sz w:val="18"/>
          <w:szCs w:val="18"/>
          <w:color w:val="auto"/>
        </w:rPr>
      </w:pPr>
    </w:p>
    <w:p>
      <w:pPr>
        <w:jc w:val="both"/>
        <w:ind w:firstLine="644"/>
        <w:spacing w:after="0" w:line="251" w:lineRule="auto"/>
        <w:tabs>
          <w:tab w:leader="none" w:pos="83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276225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that this Preferred Investment Option is outstanding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267970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3" w:name="page34"/>
    <w:bookmarkEnd w:id="33"/>
    <w:p>
      <w:pPr>
        <w:jc w:val="both"/>
        <w:ind w:left="4" w:firstLine="644"/>
        <w:spacing w:after="0" w:line="266" w:lineRule="auto"/>
        <w:tabs>
          <w:tab w:leader="none" w:pos="847"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Preferred Investment Option is outstanding, (i) the Company, directly or indirectly, in one or more related transactions effects any merger or consolidation of the Company with or into another Person (other than solely for the purpose of changing the Company’s name and/or the jurisdiction of incorporation of the Company or a holding company for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volatility for the remaining exercise period as obtained from the HVT function on Bloomberg (determined utilizing a 365 day annualization factor) as of the Trading Day immediately following the public announcement of the applicable Fundamental Transaction, (C) the underlying price per share used in such calculation shall be the share price on the day of completion of the transaction (D) a remaining option time equal to the time between the date of the public announcement of the applicable Fundamental Transaction and the Termination Date. The payment of the Black Scholes Value will be made by wire transfer of immediately available funds (or such other consideration) within the later of</w:t>
      </w:r>
    </w:p>
    <w:p>
      <w:pPr>
        <w:spacing w:after="0" w:line="200" w:lineRule="exact"/>
        <w:rPr>
          <w:rFonts w:ascii="Times New Roman" w:cs="Times New Roman" w:eastAsia="Times New Roman" w:hAnsi="Times New Roman"/>
          <w:sz w:val="17"/>
          <w:szCs w:val="17"/>
          <w:color w:val="auto"/>
        </w:rPr>
      </w:pPr>
    </w:p>
    <w:p>
      <w:pPr>
        <w:spacing w:after="0" w:line="220"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22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Preferred Investment Option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with the same effect as if the Company and such Successor Entity or Successor Entities, jointly and severally, had been named as the Company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268605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877" w:right="339" w:bottom="1113" w:gutter="0" w:footer="0" w:header="0"/>
        </w:sectPr>
      </w:pPr>
    </w:p>
    <w:bookmarkStart w:id="34" w:name="page35"/>
    <w:bookmarkEnd w:id="34"/>
    <w:p>
      <w:pPr>
        <w:jc w:val="both"/>
        <w:ind w:firstLine="644"/>
        <w:spacing w:after="0" w:line="266" w:lineRule="auto"/>
        <w:tabs>
          <w:tab w:leader="none" w:pos="83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800" w:hanging="156"/>
        <w:spacing w:after="0"/>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61" w:lineRule="auto"/>
        <w:tabs>
          <w:tab w:leader="none" w:pos="208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1300" w:firstLine="640"/>
        <w:spacing w:after="0" w:line="252" w:lineRule="auto"/>
        <w:tabs>
          <w:tab w:leader="none" w:pos="216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Times New Roman" w:cs="Times New Roman" w:eastAsia="Times New Roman" w:hAnsi="Times New Roman"/>
          <w:sz w:val="18"/>
          <w:szCs w:val="18"/>
          <w:u w:val="single" w:color="auto"/>
          <w:color w:val="auto"/>
        </w:rPr>
        <w:t>Section 3(f)(ii)</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Preferred Investment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274320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5" w:name="page36"/>
    <w:bookmarkEnd w:id="35"/>
    <w:p>
      <w:pPr>
        <w:jc w:val="both"/>
        <w:ind w:left="-460" w:firstLine="644"/>
        <w:spacing w:after="0" w:line="254" w:lineRule="auto"/>
        <w:tabs>
          <w:tab w:leader="none" w:pos="3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Preferred Investment Options</w:t>
      </w:r>
      <w:r>
        <w:rPr>
          <w:rFonts w:ascii="Times New Roman" w:cs="Times New Roman" w:eastAsia="Times New Roman" w:hAnsi="Times New Roman"/>
          <w:sz w:val="18"/>
          <w:szCs w:val="18"/>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The Company shall register this Preferred Investment Option, upon records to be maintained by the Company for that purpose (the “</w:t>
      </w: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1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provides to the Company an opinion of counsel, the form and substance of which opinion shall be reasonably satisfactory to the Company, to the effect that the transfer of this Preferred Investment Option does not require registration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36" w:name="page37"/>
    <w:bookmarkEnd w:id="36"/>
    <w:p>
      <w:pPr>
        <w:jc w:val="both"/>
        <w:ind w:firstLine="644"/>
        <w:spacing w:after="0" w:line="261" w:lineRule="auto"/>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3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3"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Preferred Investment Option</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7"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269240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7" w:name="page38"/>
    <w:bookmarkEnd w:id="37"/>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9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left="-460" w:firstLine="644"/>
        <w:spacing w:after="0" w:line="252" w:lineRule="auto"/>
        <w:tabs>
          <w:tab w:leader="none" w:pos="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Preferred Investment Option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Preferred Investment Option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Preferred Investment Option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Preferred Investment Option,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272415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38" w:name="page39"/>
    <w:bookmarkEnd w:id="38"/>
    <w:p>
      <w:pPr>
        <w:jc w:val="both"/>
        <w:ind w:left="-460" w:firstLine="644"/>
        <w:spacing w:after="0" w:line="266"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1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___________, Attention: </w:t>
      </w:r>
      <w:r>
        <w:rPr>
          <w:rFonts w:ascii="Times New Roman" w:cs="Times New Roman" w:eastAsia="Times New Roman" w:hAnsi="Times New Roman"/>
          <w:sz w:val="18"/>
          <w:szCs w:val="18"/>
          <w:b w:val="1"/>
          <w:bCs w:val="1"/>
          <w:color w:val="auto"/>
        </w:rPr>
        <w:t>___________</w:t>
      </w:r>
      <w:r>
        <w:rPr>
          <w:rFonts w:ascii="Times New Roman" w:cs="Times New Roman" w:eastAsia="Times New Roman" w:hAnsi="Times New Roman"/>
          <w:sz w:val="18"/>
          <w:szCs w:val="18"/>
          <w:color w:val="auto"/>
        </w:rPr>
        <w:t>, email address: ___________,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39" w:name="page40"/>
    <w:bookmarkEnd w:id="39"/>
    <w:p>
      <w:pPr>
        <w:jc w:val="both"/>
        <w:ind w:left="-460" w:firstLine="644"/>
        <w:spacing w:after="0" w:line="261" w:lineRule="auto"/>
        <w:tabs>
          <w:tab w:leader="none" w:pos="3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2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3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Preferred Investment Option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3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Preferred Investment Option are for the convenience of reference only and shall not, for any purpose, be deemed a part of this Preferred Investment Option.</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3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Electronically scanned and transmitted signatures, including by email attachment, shall be deemed originals for all purposes of this Warrant.</w:t>
      </w:r>
    </w:p>
    <w:p>
      <w:pPr>
        <w:spacing w:after="0" w:line="1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40" w:name="page41"/>
    <w:bookmarkEnd w:id="40"/>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Preferred Investment Option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both"/>
        <w:ind w:firstLine="1304"/>
        <w:spacing w:after="0" w:line="266" w:lineRule="auto"/>
        <w:tabs>
          <w:tab w:leader="none" w:pos="15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hanging="8"/>
        <w:spacing w:after="0" w:line="266" w:lineRule="auto"/>
        <w:tabs>
          <w:tab w:leader="none" w:pos="213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Preferred Investment Option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283210</wp:posOffset>
            </wp:positionV>
            <wp:extent cx="23488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Investment Option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283210</wp:posOffset>
            </wp:positionV>
            <wp:extent cx="23488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565785</wp:posOffset>
            </wp:positionV>
            <wp:extent cx="23488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848995</wp:posOffset>
            </wp:positionV>
            <wp:extent cx="234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560" w:hanging="256"/>
        <w:spacing w:after="0"/>
        <w:tabs>
          <w:tab w:leader="none" w:pos="1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right="20" w:firstLine="194"/>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17145</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17145</wp:posOffset>
            </wp:positionV>
            <wp:extent cx="3566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3" w:name="page44"/>
    <w:bookmarkEnd w:id="4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14,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of Preferred Investment Options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Inducement Offer to Exercise Preferred Investment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Holder:</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Microbot Medical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pleased to offer to you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or similar terminology) the opportunity to receive new preferred investment options to purchase shares of the Company’s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in consideration for the exercise by you for cash of all of the Existing PIOs at the current Exercise Price (as defined in the respective Existing PIOs) per share of the preferred investment options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First Closing Existing PIOs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Second Closing Existing PIOs</w:t>
      </w:r>
      <w:r>
        <w:rPr>
          <w:rFonts w:ascii="Times New Roman" w:cs="Times New Roman" w:eastAsia="Times New Roman" w:hAnsi="Times New Roman"/>
          <w:sz w:val="18"/>
          <w:szCs w:val="18"/>
          <w:color w:val="auto"/>
        </w:rPr>
        <w:t>” and, collectively with the First Closing Existing PIOs, the “</w:t>
      </w:r>
      <w:r>
        <w:rPr>
          <w:rFonts w:ascii="Times New Roman" w:cs="Times New Roman" w:eastAsia="Times New Roman" w:hAnsi="Times New Roman"/>
          <w:sz w:val="18"/>
          <w:szCs w:val="18"/>
          <w:u w:val="single" w:color="auto"/>
          <w:color w:val="auto"/>
        </w:rPr>
        <w:t>Existing PIOs</w:t>
      </w:r>
      <w:r>
        <w:rPr>
          <w:rFonts w:ascii="Times New Roman" w:cs="Times New Roman" w:eastAsia="Times New Roman" w:hAnsi="Times New Roman"/>
          <w:sz w:val="18"/>
          <w:szCs w:val="18"/>
          <w:color w:val="auto"/>
        </w:rPr>
        <w:t>”) held by you as set forth on the signature page hereto. The resale of the shares of Common Stock underlying the Existing PIOs (the “</w:t>
      </w:r>
      <w:r>
        <w:rPr>
          <w:rFonts w:ascii="Times New Roman" w:cs="Times New Roman" w:eastAsia="Times New Roman" w:hAnsi="Times New Roman"/>
          <w:sz w:val="18"/>
          <w:szCs w:val="18"/>
          <w:u w:val="single" w:color="auto"/>
          <w:color w:val="auto"/>
        </w:rPr>
        <w:t>Existing PIO Shares</w:t>
      </w:r>
      <w:r>
        <w:rPr>
          <w:rFonts w:ascii="Times New Roman" w:cs="Times New Roman" w:eastAsia="Times New Roman" w:hAnsi="Times New Roman"/>
          <w:sz w:val="18"/>
          <w:szCs w:val="18"/>
          <w:color w:val="auto"/>
        </w:rPr>
        <w:t>”) has been registered pursuant to the post-effective amendments on Form S-3 to registration statements on Form S-1 (File Nos. 333-280113 and 333-284688) and registration statement on Form S-3 (File No. 333-285690)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The Registration Statements are currently effective and, upon exercise of the Existing PIOs pursuant to this letter agreement, will be effective for the issuance of the Existing PIO Shares. Capitalized terms not otherwise defined herein shall have the meanings set forth in the New PIOs (as defined herein).</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consideration for the exercise in full for cash of all of the Existing PIOs held by the Holder at the current Exercise Price as set forth on the Holder’s signature page hereto (the “</w:t>
      </w:r>
      <w:r>
        <w:rPr>
          <w:rFonts w:ascii="Times New Roman" w:cs="Times New Roman" w:eastAsia="Times New Roman" w:hAnsi="Times New Roman"/>
          <w:sz w:val="18"/>
          <w:szCs w:val="18"/>
          <w:u w:val="single" w:color="auto"/>
          <w:color w:val="auto"/>
        </w:rPr>
        <w:t>PIO Exercise</w:t>
      </w:r>
      <w:r>
        <w:rPr>
          <w:rFonts w:ascii="Times New Roman" w:cs="Times New Roman" w:eastAsia="Times New Roman" w:hAnsi="Times New Roman"/>
          <w:sz w:val="18"/>
          <w:szCs w:val="18"/>
          <w:color w:val="auto"/>
        </w:rPr>
        <w:t>”) on or before the Execution Time (as defined below), the Company hereby offers to sell and issue you new unregistered preferred investment options (the “</w:t>
      </w:r>
      <w:r>
        <w:rPr>
          <w:rFonts w:ascii="Times New Roman" w:cs="Times New Roman" w:eastAsia="Times New Roman" w:hAnsi="Times New Roman"/>
          <w:sz w:val="18"/>
          <w:szCs w:val="18"/>
          <w:u w:val="single" w:color="auto"/>
          <w:color w:val="auto"/>
        </w:rPr>
        <w:t>New PIOs</w:t>
      </w:r>
      <w:r>
        <w:rPr>
          <w:rFonts w:ascii="Times New Roman" w:cs="Times New Roman" w:eastAsia="Times New Roman" w:hAnsi="Times New Roman"/>
          <w:sz w:val="18"/>
          <w:szCs w:val="18"/>
          <w:color w:val="auto"/>
        </w:rPr>
        <w:t>”) pursuant to Section 4(a)(2) of the Securities Act of 1933, as amended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to purchase up to a number of shares (the “</w:t>
      </w:r>
      <w:r>
        <w:rPr>
          <w:rFonts w:ascii="Times New Roman" w:cs="Times New Roman" w:eastAsia="Times New Roman" w:hAnsi="Times New Roman"/>
          <w:sz w:val="18"/>
          <w:szCs w:val="18"/>
          <w:u w:val="single" w:color="auto"/>
          <w:color w:val="auto"/>
        </w:rPr>
        <w:t>New PIO Shares</w:t>
      </w:r>
      <w:r>
        <w:rPr>
          <w:rFonts w:ascii="Times New Roman" w:cs="Times New Roman" w:eastAsia="Times New Roman" w:hAnsi="Times New Roman"/>
          <w:sz w:val="18"/>
          <w:szCs w:val="18"/>
          <w:color w:val="auto"/>
        </w:rPr>
        <w:t xml:space="preserve">”) of Common Stock equal to 100% of the number of Existing PIO Shares issued pursuant to the PIO Exercise hereunder, which New PIOs shall have an exercise price per share equal to $4.50, subject to adjustment as provided in the New PIOs, will be exercisable beginning six (6) months after the date of issuance and have a term of exercise of two (2) years from the initial exercise date, provided that, if such date is not a Trading Day, the immediately following Trading Day, which New PIOs shall be substantially in the form as set forth in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applicable New PIO certificate(s) will be delivered at each closing, and such New PIOs, together with any underlying shares of Common Stock issued upon exercise of the New PIOs, will, unless and until their sales are registered under the Securities Act, contain customary restrictive legends and other language typical for an unregistered preferred investment option and unregistered shares. Notwithstanding anything herein to the contrary, in the event that any PIO Exercise would otherwise cause the Holder to exceed the beneficial ownership limitations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set forth in Section 2(e) of the Existing PIOs (or, if applicable and at the Holder’s election, 9.99%), the Company shall only issue such number of Existing PIO Shares to the Holder that would not cause the Holder to exceed the maximum number of PIO Shares permitted thereunder, as directed by the Holder, with the balance to be held in abeyance until notice from the Holder that the balance (or portion thereof) may be issued in compliance with such limitations, which abeyance shall be evidenced through the Existing PIOs which shall be deemed prepaid thereafter (including the cash payment in full of the exercise price), and exercised pursuant to a Notice of Exercise in the Existing PIOs (provided no additional exercise price shall be due and payable). The parties hereby agree that the Beneficial Ownership Limitation for purposes of the Existing PIOs is as set forth on the Holder’s signature page hereto. For the avoidance of doubt, the determination of which portion of the Existing PIO is exercisable shall be in the sole discretion of the Holder, and the submission of a Notice of Exercise shall be deemed to be the Holder’s determination of whether an Existing PIO is exercisable (in relation to other securities owned by the Holder together with any Affiliates and Attribution Parties (as such terms are defined in the Existing PIOs)) and of which portion of an Existing PIO is exercisable, in each case subject to the Beneficial Ownership Limitation, and the Company shall have no obligation to verify or confirm the accuracy of such determination and shall have no liability for exercises of an Existing PIO that are in non-compliance with the Beneficial Ownership Limitation.</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Expressly subject to the paragraph immediately following this paragraph below, Holder may accept this offer by signing this letter agreement below, with such acceptance constituting Holder’s exercise in full of the Existing PIOs for an aggregate exercise price set forth on the Holder’s signature page hereto (the “</w:t>
      </w:r>
      <w:r>
        <w:rPr>
          <w:rFonts w:ascii="Times New Roman" w:cs="Times New Roman" w:eastAsia="Times New Roman" w:hAnsi="Times New Roman"/>
          <w:sz w:val="18"/>
          <w:szCs w:val="18"/>
          <w:u w:val="single" w:color="auto"/>
          <w:color w:val="auto"/>
        </w:rPr>
        <w:t>PIO Exercise Price</w:t>
      </w:r>
      <w:r>
        <w:rPr>
          <w:rFonts w:ascii="Times New Roman" w:cs="Times New Roman" w:eastAsia="Times New Roman" w:hAnsi="Times New Roman"/>
          <w:sz w:val="18"/>
          <w:szCs w:val="18"/>
          <w:color w:val="auto"/>
        </w:rPr>
        <w:t>”) on or before 11:59 p.m., Eastern Time, on September 14, 2025 (the “</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Additionally, the Company agrees to the representations, warranties and covenants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Holder represents and warrants that, as of the date hereof it is, and on each date on which it exercises any New PIOs it will be, an “accredited investor” as defined in Rule 501 of Regulation D promulgated under the Securities Act, and agrees that the New PIOs will contain restrictive legends when issued, and neither the New PIOs nor the shares of Common Stock issuable upon exercise of the New PIOs will be registered under the Securities Act, except as provided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Also, Holder represents and warrants that it is acquiring the New PIOs as principal for its own account and has no direct or indirect arrangement or understandings with any other persons to distribute or regarding the distribution of the New PIOs or the New PIO Shares (this representation is not limiting Holder’s right to sell the New PIO Shares pursuant to an effective registration statement under the Securities Act or otherwise in compliance with applicable federal and state securities laws).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 understands that issuance of the New PIOs and the New PIO Shares are not, and may never be, registered under the Securities Act, or the securities laws of any state and, accordingly, each certificate, if any, representing such securities shall bear a legend substantially similar to the following:</w:t>
      </w:r>
    </w:p>
    <w:p>
      <w:pPr>
        <w:spacing w:after="0" w:line="176" w:lineRule="exact"/>
        <w:rPr>
          <w:sz w:val="20"/>
          <w:szCs w:val="20"/>
          <w:color w:val="auto"/>
        </w:rPr>
      </w:pPr>
    </w:p>
    <w:p>
      <w:pPr>
        <w:jc w:val="both"/>
        <w:ind w:left="340" w:firstLine="648"/>
        <w:spacing w:after="0" w:line="256" w:lineRule="auto"/>
        <w:rPr>
          <w:sz w:val="20"/>
          <w:szCs w:val="20"/>
          <w:color w:val="auto"/>
        </w:rPr>
      </w:pPr>
      <w:r>
        <w:rPr>
          <w:rFonts w:ascii="Times New Roman" w:cs="Times New Roman" w:eastAsia="Times New Roman" w:hAnsi="Times New Roman"/>
          <w:sz w:val="18"/>
          <w:szCs w:val="18"/>
          <w:color w:val="auto"/>
        </w:rPr>
        <w:t>“THE OFFER AND SALE OF THIS SECURITY HAS NOT BEEN REGISTERED WITH THE SECURITIES AND EXCHANGE COMMISSION OR THE SECURITIES COMMISSION OF ANY STATE IN RELIANCE UPON AN EXEMPTION FROM REGISTRATION UNDER THE SECURITIES ACT OF 1933, AS AMENDED (THE “SECURITIES ACT”), AND, ACCORDINGLY, THIS SECURITY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Certificates evidencing the New PIO Shares shall not contain any legend (including the legend set forth above), (i) while a registration statement covering the resale of such New PIO Shares is effective under the Securities Act, (ii) following any sale of such New PIO Shares pursuant to Rule 144 under the Securities Act, (iii) if such New PIO Shares are eligible for sale under Rule 144 (assuming cashless exercise of the New PIOs), without the requirement for the Company to be in compliance with the current public information required under Rule 144 as to such New PIO Shares and without volume or manner-of-sale restrictions, (iv) if such New PIO Shares may be sold under Rule 144 (assuming cashless exercise of the New PIOs) and the Company is then in compliance with the current public information required under Rule 144 as to such New PIO Shares, or (v) if such legend is not required under applicable requirements of the Securities Act (including judicial interpretations and pronouncements issued by the staff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and the earliest of clauses (i) through (v), the “</w:t>
      </w:r>
      <w:r>
        <w:rPr>
          <w:rFonts w:ascii="Times New Roman" w:cs="Times New Roman" w:eastAsia="Times New Roman" w:hAnsi="Times New Roman"/>
          <w:sz w:val="18"/>
          <w:szCs w:val="18"/>
          <w:u w:val="single" w:color="auto"/>
          <w:color w:val="auto"/>
        </w:rPr>
        <w:t>Delegend Date</w:t>
      </w:r>
      <w:r>
        <w:rPr>
          <w:rFonts w:ascii="Times New Roman" w:cs="Times New Roman" w:eastAsia="Times New Roman" w:hAnsi="Times New Roman"/>
          <w:sz w:val="18"/>
          <w:szCs w:val="18"/>
          <w:color w:val="auto"/>
        </w:rPr>
        <w:t>”)). The Company shall cause its counsel to issue a legal opinion to the Transfer Agent promptly after the Delegend Date if required by the Company and/or the Transfer Agent to effect the removal of the legend hereunder, or at the request of the Holder, which opinion shall be in form and substance reasonably acceptable to the Holder. From and after the Delegend Date, such New PIO Shares shall be issued free of all legends. The Company agrees that following the Delegend Date or at such time as such legend is no longer required under this Section, it will, no later than one (1) Trading Day following the delivery by the Holder to the Company or the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Transfer Agent of a certificate representing the New PIO Shares issued with a restrictive legend (such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the Holder a certificate representing such shares that is free from all restrictive and other legends or, at the request of the Holder shall credit the account of the Holder’s prime broker with the Depository Trust Company System as directed by the Holder.</w:t>
      </w:r>
    </w:p>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Holder’s other available remedies, the Company shall pay to a Holder, in cash, (i) as partial liquidated damages and not as a penalty, for each $1,000 of New PIO Shares (based on the VWAP of the Common Stock on the date such New PIO Shares are submitted to the Transfer Agent) delivered for removal of the restrictive legend,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the Holder by the Legend Removal Date a certificate representing the New PIO Shares that is free from all restrictive and other legends and (b) if after the Legend Removal Date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that the Holder anticipated receiving from the Company without any restrictive legend, then, an amount equal to the excess of the Holder’s total purchase price (including brokerage commissions and other out-of-pocket expenses, if any) for the shares of Common Stock so purchased (including brokerage commissions and other out-of-pocket expenses, if any) over the product of (A) such number of New PIO Shares that the Company was required to deliver to the Holder by the Legend Removal Date and for which the Holder was required to purchase shares to timely satisfy delivery requirements, multiplied by (B) the weighted average price at which the Holder sold that 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this offer is accepted and the transaction documents are executed by the Execution Time, then as promptly as possible following the Execution Time, but in any event no later than 8:00 a.m., Eastern Time, on the Trading Day following the date hereof, the Company shall issue a press release disclosing the material terms of the transactions contemplated hereby and shall file a Current Report on Form 8-K with the Commission disclosing all material terms of the transactions contemplated hereunder, including the filing with the Commission of this letter agreement as an exhibit thereto within the time required by the Exchange Act. From and after the dissemination of such press release, the Company represents to you that it shall have publicly disclosed all material, non-public information delivered to you by the Company, or any of its respective officers, directors, employees or agents in connection with the transactions contemplated hereunder. In addition, effective upon the dissemination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you and your Affiliates on the other hand, shall terminate. The Company represents, warrants and covenants that, upon acceptance of this offer, the Existing PIO Shares shall be issued at each closing free of any legends or restrictions on resale by Holder.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 later than the first (1st) Trading Day following the date of the public disclosure of the transactions hereunder as to the First Closing Existing PIOs (the “</w:t>
      </w:r>
      <w:r>
        <w:rPr>
          <w:rFonts w:ascii="Times New Roman" w:cs="Times New Roman" w:eastAsia="Times New Roman" w:hAnsi="Times New Roman"/>
          <w:sz w:val="18"/>
          <w:szCs w:val="18"/>
          <w:u w:val="single" w:color="auto"/>
          <w:color w:val="auto"/>
        </w:rPr>
        <w:t>First Closing Date</w:t>
      </w:r>
      <w:r>
        <w:rPr>
          <w:rFonts w:ascii="Times New Roman" w:cs="Times New Roman" w:eastAsia="Times New Roman" w:hAnsi="Times New Roman"/>
          <w:sz w:val="18"/>
          <w:szCs w:val="18"/>
          <w:color w:val="auto"/>
        </w:rPr>
        <w:t>”) and on October 15, 2025 (or such earlier date as may be agreed among the Company, the Holder and the Placement Agent) as to the Second Closing Existing PIOs (the “</w:t>
      </w:r>
      <w:r>
        <w:rPr>
          <w:rFonts w:ascii="Times New Roman" w:cs="Times New Roman" w:eastAsia="Times New Roman" w:hAnsi="Times New Roman"/>
          <w:sz w:val="18"/>
          <w:szCs w:val="18"/>
          <w:u w:val="single" w:color="auto"/>
          <w:color w:val="auto"/>
        </w:rPr>
        <w:t>Second Closing Date</w:t>
      </w:r>
      <w:r>
        <w:rPr>
          <w:rFonts w:ascii="Times New Roman" w:cs="Times New Roman" w:eastAsia="Times New Roman" w:hAnsi="Times New Roman"/>
          <w:sz w:val="18"/>
          <w:szCs w:val="18"/>
          <w:color w:val="auto"/>
        </w:rPr>
        <w:t>”), each closing shall occur at such location as the parties shall mutually agree. Unless otherwise directed by H.C. Wainwright &amp; Co., LLC (the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settlement of the Existing PIO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First Closing Date and the Second Closing Date, the Company shall issue the applicable Existing PIO Shares registered in the Holder’s name and address provided to the Company in writing and released by the Transfer Agent directly to the account(s) at the Placement Agent identified by the Holder; upon receipt of such Existing PIO Shares, the Placement Agent shall promptly electronically deliver such Existing PIO Shares to the Holder, and payment therefor shall concurrently be made to the Company by the Placement Agent (or its clearing firm) by wire transfer to the Company).</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acknowledges and agrees that the obligations of the Holders under this letter agreement are several and not joint with the obligations of any other holder or holders of Existing PIOs or other preferred investment options of the Company (each, an “</w:t>
      </w:r>
      <w:r>
        <w:rPr>
          <w:rFonts w:ascii="Times New Roman" w:cs="Times New Roman" w:eastAsia="Times New Roman" w:hAnsi="Times New Roman"/>
          <w:sz w:val="18"/>
          <w:szCs w:val="18"/>
          <w:u w:val="single" w:color="auto"/>
          <w:color w:val="auto"/>
        </w:rPr>
        <w:t>Other Holder</w:t>
      </w:r>
      <w:r>
        <w:rPr>
          <w:rFonts w:ascii="Times New Roman" w:cs="Times New Roman" w:eastAsia="Times New Roman" w:hAnsi="Times New Roman"/>
          <w:sz w:val="18"/>
          <w:szCs w:val="18"/>
          <w:color w:val="auto"/>
        </w:rPr>
        <w:t>”) under any other agreement related to the exercise of such preferred investment options (“</w:t>
      </w:r>
      <w:r>
        <w:rPr>
          <w:rFonts w:ascii="Times New Roman" w:cs="Times New Roman" w:eastAsia="Times New Roman" w:hAnsi="Times New Roman"/>
          <w:sz w:val="18"/>
          <w:szCs w:val="18"/>
          <w:u w:val="single" w:color="auto"/>
          <w:color w:val="auto"/>
        </w:rPr>
        <w:t>Other PIO Exercise Agreement</w:t>
      </w:r>
      <w:r>
        <w:rPr>
          <w:rFonts w:ascii="Times New Roman" w:cs="Times New Roman" w:eastAsia="Times New Roman" w:hAnsi="Times New Roman"/>
          <w:sz w:val="18"/>
          <w:szCs w:val="18"/>
          <w:color w:val="auto"/>
        </w:rPr>
        <w:t>”), and the Holder shall not be responsible in any way for the performance of the obligations of any Other Holder or under any such Other PIO Exercise Agreement. Nothing contained in this letter agreement, and no action taken by the Holders pursuant hereto, shall be deemed to constitute the Holder and the Other Holders as a partnership, an association, a joint venture or any other kind of entity, or create a presumption that the Holder and the Other Holders are in any way acting in concert or as a group with respect to such obligations or the transactions contemplated by this letter agreement and the Company acknowledges that the Holder and the Other Holders are not acting in concert or as a group with respect to such obligations or the transactions contemplated by this letter agreement or any Other PIO Exercise Agreement. The Company and the Holder confirm that the Holder has independently participated in the negotiation of the transactions contemplated hereby with the advice of its own counsel and advisors. The Holder shall be entitled to independently protect and enforce its rights, including, without limitation, the rights arising out of this letter agreement, and it shall not be necessary for any Other Holder to be joined as an additional party in any proceeding for such purpose.</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stamp taxes and other taxes and duties levied in connection with the delivery of any Existing PIO Shares. This letter agreement shall be construed and enforced in accordance with the laws of the State of New York, without regards to conflicts of laws principles. Each party hereby irrevocably submits to the exclusive jurisdiction of the state and federal courts sitting in the City of New York, Borough of Manhattan for the adjudication of any dispute hereunder or in connection herewith or with any transaction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ind w:left="452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[Holder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First Closing Existing PIOs: 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Second Closing Existing PIOs: 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PIO Exercise Price being exercised contemporaneously with signing this letter agreement: _________________</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Existing PIOs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PIOs: _______________ (100% of the total Existing PIOs being exercised)</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New PIOs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Instructions:</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[Holder signature page to MBOT Inducement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Representations, Warranties and Covenants of the Company</w:t>
      </w:r>
      <w:r>
        <w:rPr>
          <w:rFonts w:ascii="Times New Roman" w:cs="Times New Roman" w:eastAsia="Times New Roman" w:hAnsi="Times New Roman"/>
          <w:sz w:val="18"/>
          <w:szCs w:val="18"/>
          <w:color w:val="auto"/>
        </w:rPr>
        <w:t>. The Company hereby makes the following representations and warranties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07" w:lineRule="exact"/>
        <w:rPr>
          <w:sz w:val="20"/>
          <w:szCs w:val="20"/>
          <w:color w:val="auto"/>
        </w:rPr>
      </w:pPr>
    </w:p>
    <w:p>
      <w:pPr>
        <w:jc w:val="both"/>
        <w:ind w:left="340" w:hanging="332"/>
        <w:spacing w:after="0" w:line="255"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As of their respective dates, the SEC Reports complied in all material respects with the requirements of the Exchange Act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is not currently an issuer identified in Rule 144(i) under the Securities Act.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letter agreement and otherwise to carry out its obligations hereunder. The execution and delivery of this letter agreement by the Company and the consummation by the Company of the transactions contemplated hereby have been duly authorized by all necessary action on the part of the Company and no further action is required by the Company, its board of directors or its stockholders in connection herewith. This letter agreement has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this letter agreement by the Company and the consummation by the Company of the transactions contemplated hereby do not and will not: (i) conflict with or violate any provision of the Company’s certificate or articles of incorporation, bylaws or other organizational or charter documents; or (ii) conflict with, or constitute a default (or an event that with notice or lapse of time or both would become a default) under, result in the creation of any liens, claims, security interests, other encumbrances or defects upon any of the properties or assets of the Company in connection with, or give to others any rights of termination, amendment, acceleration or cancellation (with or without notice, lapse of time or both) of, any material agreement, credit facility, debt or other material instrument (evidencing Company debt or otherwise) or other material understanding to which such Company is a party or by which any property or asset of the Company is bound or affected; or (iii)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 except, in the case of each of clauses (ii) and (iii), such as could not have or reasonably be expected to result in a material adverse effect upon the business, prospects, properties, operations, condition (financial or otherwise) or results of operations of the Company, taken as a whole, or in its ability to perform its obligations under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both"/>
        <w:ind w:left="332" w:hanging="332"/>
        <w:spacing w:after="0" w:line="252" w:lineRule="auto"/>
        <w:tabs>
          <w:tab w:leader="none" w:pos="33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Obligations</w:t>
      </w:r>
      <w:r>
        <w:rPr>
          <w:rFonts w:ascii="Times New Roman" w:cs="Times New Roman" w:eastAsia="Times New Roman" w:hAnsi="Times New Roman"/>
          <w:sz w:val="18"/>
          <w:szCs w:val="18"/>
          <w:color w:val="auto"/>
        </w:rPr>
        <w:t>. As soon as reasonably practicable (and in any event within 30 calendar days of the date of this letter agreement) (the “</w:t>
      </w: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Company shall file a registration statement on Form S-3 (or other appropriate form if the Company is not then S-3 eligible) providing for the resale of the New PIO Shares by the holders of the New PIOs (the “</w:t>
      </w:r>
      <w:r>
        <w:rPr>
          <w:rFonts w:ascii="Times New Roman" w:cs="Times New Roman" w:eastAsia="Times New Roman" w:hAnsi="Times New Roman"/>
          <w:sz w:val="18"/>
          <w:szCs w:val="18"/>
          <w:u w:val="single" w:color="auto"/>
          <w:color w:val="auto"/>
        </w:rPr>
        <w:t>Resale Registration Statement</w:t>
      </w:r>
      <w:r>
        <w:rPr>
          <w:rFonts w:ascii="Times New Roman" w:cs="Times New Roman" w:eastAsia="Times New Roman" w:hAnsi="Times New Roman"/>
          <w:sz w:val="18"/>
          <w:szCs w:val="18"/>
          <w:color w:val="auto"/>
        </w:rPr>
        <w:t>”). The Company shall use commercially reasonable efforts to cause the Resale Registration Statement to become effective within sixty (60) calendar days following the date hereof (or within 90 calendar days following the date hereof in case of “full review” of such registration statement by the Commission) (the “</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and to keep the Resale Registration Statement effective at all times until the earlier of such time that (i) no holder of the New PIOs owns any New PIOs or New PIO Shares or (ii) the New PIO Shares are eligible for sale under Rule 144 (assuming cashless exercise of the New PIOs), without the requirement for the Company to be in compliance with the current public information required under Rule 144 as to such New PIO Shares and without volume or manner-of-sale restrictions. In the event that the Resale Registration Statement is not (i) filed by the Filing Date or (ii) declared effective by the Commission by the Effectiveness Date, then, in addition to any other rights the holders of New Warrants may have hereunder or under applicable law, on the Filing Date or the Effectiveness Date (each such date being referred to herein as an “</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and on each monthly anniversary of such Event Date (if the Resale Registration Statement shall not have been filed or declared effective by the applicable Event Date) until the Resale Registration Statement is filed or declared effective, the Company shall pay to each holder of New Warrants an amount in cash, as partial liquidated damages and not as a penalty, equal to the product of 1.0% multiplied by the aggregate exercise price of the New Warrants held by each holder of the New Warrants. If the Company fails to pay any partial liquidated damages pursuant to this Section in full within seven days after the date payable, the Company will pay interest thereon at a rate of 18% per annum (or such lesser maximum amount that is permitted to be paid by applicable law) to the holders of the New Warrants, accruing daily from the date such partial liquidated damages are due until such amounts, plus all such interest thereon, are paid in full. The partial liquidated damages pursuant to the terms hereof shall apply on a daily pro rata basis for any portion of a month prior to the Resale Registration Statement being filed or declared effective, as the case may be.</w:t>
      </w:r>
    </w:p>
    <w:p>
      <w:pPr>
        <w:spacing w:after="0" w:line="190"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The transactions contemplated under this letter agreement comply with all the rules and regulations of the Nasdaq Capital Market.</w:t>
      </w:r>
    </w:p>
    <w:p>
      <w:pPr>
        <w:spacing w:after="0" w:line="225" w:lineRule="exact"/>
        <w:rPr>
          <w:rFonts w:ascii="Times New Roman" w:cs="Times New Roman" w:eastAsia="Times New Roman" w:hAnsi="Times New Roman"/>
          <w:sz w:val="18"/>
          <w:szCs w:val="18"/>
          <w:color w:val="auto"/>
        </w:rPr>
      </w:pPr>
    </w:p>
    <w:p>
      <w:pPr>
        <w:jc w:val="both"/>
        <w:ind w:left="332" w:hanging="332"/>
        <w:spacing w:after="0" w:line="256" w:lineRule="auto"/>
        <w:tabs>
          <w:tab w:leader="none" w:pos="33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this letter agreement, other than: (i) the filings required pursuant to this letter agreement, (ii) application(s) or notice to each applicable Trading Market for the listing of the New PIOs and New PIO Shares for trading thereon in the time and manner required thereby, (iii) the filing of Form D with the Commission, and (iv) such filings as are required to be made under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15" w:right="339" w:bottom="1440" w:gutter="0" w:footer="0" w:header="0"/>
        </w:sectPr>
      </w:pPr>
    </w:p>
    <w:bookmarkStart w:id="51" w:name="page52"/>
    <w:bookmarkEnd w:id="51"/>
    <w:p>
      <w:pPr>
        <w:jc w:val="both"/>
        <w:ind w:left="332" w:hanging="332"/>
        <w:spacing w:after="0" w:line="253" w:lineRule="auto"/>
        <w:tabs>
          <w:tab w:leader="none" w:pos="33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commercially reasonable efforts to maintain the listing or quotation of the Common Stock on the Trading Market on which it is currently listed, and concurrently with each closing, the Company shall apply to list or quote all of the New PIO Shares on such Trading Market and promptly secure the listing of all of the New PIO Shares on such Trading Market. The Company further agrees, if the Company applies to have the Common Stock traded on any other Trading Market, it will then include in such application all of the New PIO Shares, and will take such other action as is necessary to cause all of the New PIO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spacing w:after="0" w:line="251" w:lineRule="auto"/>
        <w:tabs>
          <w:tab w:leader="none" w:pos="119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ninety (90) days after the First Closing Date, neither the Company nor any Subsidiary shall (A) issue, enter into any agreement to issue or announce the issuance or proposed issuance of any Common Stock or Common Stock Equivalents, other than the entry into and announcement of an “at the market” offering with the Placement Agent as sales agent, provided that no shares of Common Stock may be issued thereunder until after the expiration of the prohibition period in this Section (h)(i) or (B) file any registration statement or any amendment or supplement to any existing registration statement (other than (w) the filing of prospectus supplements and any amendments thereto with respect to any registration statements of the Company that are effective as of the date hereof (other than the Company’s shelf registration statement on Form S-3 (File No. 333-275634)), (x) the Resale Registration Statement referred to herein, (y) a registration statement on Form S-8 in connection with any employee benefit plan or (z) the filing of prospectus supplements and any amendments thereto pursuant to an “at the market” offering with the Placement Agent as sales agent, provided that no shares of Common Stock may be issued thereunder until after the expiration of the prohibition period in this Section (h)(i)). Notwithstanding the foregoing, this Section (h)(i) shall not apply in respect of an Exempt Issuance. “</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warrants to the Placement Agent and any securities upon exercise of warrants to the Placement Agent and/or other securities exercisable or exchangeable for or convertible into shares of Common Stock issued and outstanding on the date of this letter agreement, provided that such securities have not been amended since the date of this letter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this Section (h)(i),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 (d) the shares of Common Stock issuanble upon exercise of the Second Closing Existing PIOs and the applicable New PIOs issued at the Second Closing.</w:t>
      </w:r>
    </w:p>
    <w:p>
      <w:pPr>
        <w:spacing w:after="0" w:line="203" w:lineRule="exact"/>
        <w:rPr>
          <w:rFonts w:ascii="Times New Roman" w:cs="Times New Roman" w:eastAsia="Times New Roman" w:hAnsi="Times New Roman"/>
          <w:sz w:val="18"/>
          <w:szCs w:val="18"/>
          <w:color w:val="auto"/>
        </w:rPr>
      </w:pPr>
    </w:p>
    <w:p>
      <w:pPr>
        <w:jc w:val="both"/>
        <w:ind w:left="972"/>
        <w:spacing w:after="0" w:line="257" w:lineRule="auto"/>
        <w:tabs>
          <w:tab w:leader="none" w:pos="125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six (6) months following the First Closing Date, the Company shall be prohibited from effecting or entering into an agreement to effect any issuance by the Company nor any Subsidiary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means a transaction in which the Company</w:t>
      </w:r>
    </w:p>
    <w:p>
      <w:pPr>
        <w:spacing w:after="0" w:line="1" w:lineRule="exact"/>
        <w:rPr>
          <w:rFonts w:ascii="Times New Roman" w:cs="Times New Roman" w:eastAsia="Times New Roman" w:hAnsi="Times New Roman"/>
          <w:sz w:val="18"/>
          <w:szCs w:val="18"/>
          <w:color w:val="auto"/>
        </w:rPr>
      </w:pPr>
    </w:p>
    <w:p>
      <w:pPr>
        <w:jc w:val="both"/>
        <w:ind w:left="972"/>
        <w:spacing w:after="0" w:line="251" w:lineRule="auto"/>
        <w:tabs>
          <w:tab w:leader="none" w:pos="121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the entry into an “at the market” offering with the Placement Agent as sales agent shall not be deemed a Variable Rate Transaction, provided that no shares of Common Stock may be issued thereunder until after the expiration of the restrictive period set forth in Section (h)(i) above and (y) following the expiration of the restrictive period set forth in Section (h)(i) above, the issuance of shares of Common Stock in an “at the market” offering with the Placement Agent as sales agent shall not be deemed a Variable Rate Transaction. The Holder shall be entitled to obtain injunctive relief against the Company to preclude any such issuance, which remedy shall be in addition to any right to collect damages.</w:t>
      </w:r>
    </w:p>
    <w:p>
      <w:pPr>
        <w:spacing w:after="0" w:line="191" w:lineRule="exact"/>
        <w:rPr>
          <w:rFonts w:ascii="Times New Roman" w:cs="Times New Roman" w:eastAsia="Times New Roman" w:hAnsi="Times New Roman"/>
          <w:sz w:val="18"/>
          <w:szCs w:val="18"/>
          <w:color w:val="auto"/>
        </w:rPr>
      </w:pPr>
    </w:p>
    <w:p>
      <w:pPr>
        <w:jc w:val="both"/>
        <w:ind w:left="332" w:hanging="332"/>
        <w:spacing w:after="0" w:line="258" w:lineRule="auto"/>
        <w:tabs>
          <w:tab w:leader="none" w:pos="33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If required, the Company agrees to timely file a Form D with respect to the New PIOs and New PIO Shares as required under Regulation D and to provide a copy thereof, promptly upon request of any Holder. The Company shall take such action as the Company shall reasonably determine is necessary in order to obtain an exemption for, or to qualify the New PIOs and New PIO Shares for, sale to the Holder at each closing under applicable securities or “Blue Sky” laws of the states of the United States, and shall provide evidence of such actions promptly upon request of any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15" w:right="339" w:bottom="1440" w:gutter="0" w:footer="0" w:header="0"/>
        </w:sectPr>
      </w:pPr>
    </w:p>
    <w:bookmarkStart w:id="52" w:name="page53"/>
    <w:bookmarkEnd w:id="52"/>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Exercise of Outstanding Preferred Investment Options for Up to $92.2 Million in Gross Proceeds</w:t>
      </w:r>
    </w:p>
    <w:p>
      <w:pPr>
        <w:spacing w:after="0" w:line="225" w:lineRule="exact"/>
        <w:rPr>
          <w:sz w:val="20"/>
          <w:szCs w:val="20"/>
          <w:color w:val="auto"/>
        </w:rPr>
      </w:pPr>
    </w:p>
    <w:p>
      <w:pPr>
        <w:jc w:val="center"/>
        <w:ind w:left="340" w:right="240"/>
        <w:spacing w:after="0" w:line="286" w:lineRule="auto"/>
        <w:rPr>
          <w:sz w:val="20"/>
          <w:szCs w:val="20"/>
          <w:color w:val="auto"/>
        </w:rPr>
      </w:pPr>
      <w:r>
        <w:rPr>
          <w:rFonts w:ascii="Times New Roman" w:cs="Times New Roman" w:eastAsia="Times New Roman" w:hAnsi="Times New Roman"/>
          <w:sz w:val="18"/>
          <w:szCs w:val="18"/>
          <w:b w:val="1"/>
          <w:bCs w:val="1"/>
          <w:color w:val="auto"/>
        </w:rPr>
        <w:t>$25.2 million in first closing and $4 million in second closing, with up to an additional approximately $63 million of potential aggregate gross proceeds upon the exercise in full of short-term preferred investment options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BRAINTREE, Mass., Sept. 15, 2025 (GLOBE NEWSWIRE) -- Microbot Medical Inc. (Nasdaq: MBOT) (“Microbot” or the “Company”), today announced the entry into definitive agreements for the exercise of certain outstanding preferred investment options to purchase up to an aggregate of 13,989,115 shares of common stock. The shares of common stock issuable upon exercise of the preferred investment options are registered pursuant to the post-effective amendments on Form S-3 to registration statements on Form S-1 (File Nos. 333-280113 and 333-284688) and registration statement on Form S-3 (File No. 333-285690).</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closing of the offering is expected to occur in two tranches. The first closing of the offering is expected to occur on or about September 16, 2025, subject to satisfaction of customary closing conditions. At the first closing, the holders will exercise certain outstanding preferred investment options to purchase up to an aggregate of 12,064,627 shares of common stock, having exercise prices ranging from $1.50 to $2.13 per share, issued by Microbot in June 2024, January 2025 and February 2025, and in consideration for the exercise of the preferred investment options for cash, Microbot will issue to such holders new unregistered short-term series J preferred investment options to purchase up to 12,064,627 shares of common stock. The second closing of the offering is expected to occur by no later than October 15, 2025, subject to satisfaction of customary closing conditions. At the second closing, a holder will exercise certain outstanding preferred investment options to purchase up to an aggregate of 1,924,488 shares of common stock, having an exercise price of $2.10 per share, issued by Microbot in January 2025, and in consideration for the exercise of the preferred investment options for cash, Microbot will issue to such holder new unregistered short-term series J preferred investment options to purchase up to 1,924,488 shares of common stock. The new short-term series J preferred investment options will have an exercise price of $4.50 per share, will be exercisable beginning six months after issuance and have a term equal to two years thereafter.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is acting as the exclusive placement agent for the offering.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gross proceeds to the Company are expected to be approximately $25.2 million from the first closing of the offering and approximately $4 million from the second closing of the offering, in each case prior to deducting placement agent fees and offering expenses. The potential additional gross proceeds to the Company from the short-term series J preferred investment options, if fully-exercised on a cash basis, will be approximately $63 million. No assurance can be given that any of such short-term series J preferred investment options will be exercised. The Company intends to use the net proceeds</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from the offering for the continued development, commercialization and regulatory activities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potential acquisitions of complementary assets or products, expansion and development of additional applications derived from the Company’s existing IP portfolio, and for working capital and other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As of September 15, 2025, there were 52,794,762 shares of the Company’s common stock outstanding immediately prior to the offering.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new short-term series J preferred investment options described above were offered in a private placement pursuant to an applicable exemption from the registration requirements of the Securities Act of 1933, as amended (the “1933 Act”), and, along with the shares of common stock issuable upon exercise, have not been registered under the 1933 Act, and may not be offered or sold in the United States absent registration with the Securities and Exchange Commission (“SEC”) or an applicable exemption from such registration requirements. Microbot has agreed to file a registration statement with the SEC covering the resale of the shares of common stock issuable upon exercise of the new short-term series J preferred investment options.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the securities in this offering,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breakthrough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first single-use, remotely operated robotic solution designed for precision, efficiency and provider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the completion of the offering, the satisfaction of customary closing conditions related to the offering, the exercise of the unregistered short-term series J preferred investment options prior to their expiration, the intended use of proceeds from the offering, the Company’s need for and ability to obtain additional working capital to continue its transition to a commercially focused company, market conditions, risks inherent in the commercialization of the</w:t>
      </w:r>
    </w:p>
    <w:p>
      <w:pPr>
        <w:spacing w:after="0" w:line="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 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 xml:space="preserve">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First Closing of Exercise of Outstanding Preferred Investment Options of Up to $92.2 Million in Gross Proceeds</w:t>
      </w:r>
    </w:p>
    <w:p>
      <w:pPr>
        <w:spacing w:after="0" w:line="225" w:lineRule="exact"/>
        <w:rPr>
          <w:sz w:val="20"/>
          <w:szCs w:val="20"/>
          <w:color w:val="auto"/>
        </w:rPr>
      </w:pPr>
    </w:p>
    <w:p>
      <w:pPr>
        <w:jc w:val="center"/>
        <w:ind w:left="340" w:right="240"/>
        <w:spacing w:after="0" w:line="286" w:lineRule="auto"/>
        <w:rPr>
          <w:sz w:val="20"/>
          <w:szCs w:val="20"/>
          <w:color w:val="auto"/>
        </w:rPr>
      </w:pPr>
      <w:r>
        <w:rPr>
          <w:rFonts w:ascii="Times New Roman" w:cs="Times New Roman" w:eastAsia="Times New Roman" w:hAnsi="Times New Roman"/>
          <w:sz w:val="18"/>
          <w:szCs w:val="18"/>
          <w:b w:val="1"/>
          <w:bCs w:val="1"/>
          <w:color w:val="auto"/>
        </w:rPr>
        <w:t>$25.2 million in first closing and $4 million in second closing, with up to an additional approximately $63 million of potential aggregate gross proceeds upon the exercise in full of short-term preferred investment options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HINGHAM, Mass., September 16, 2025 (GLOBE NEWSWIRE) — Microbot Medical Inc. (Nasdaq: MBOT) (“Microbot” or the “Company”), today announced the first closing of its previously announced exercise of certain outstanding preferred investment options to purchase up to an aggregate of 13,989,115 shares of common stock. The shares of common stock issuable upon exercise of the preferred investment options are registered pursuant to the post-effective amendments on Form S-3 to registration statements on Form S-1 (File Nos. 333-280113 and 333-284688) and registration statement on Form S-3 (File No. 333-285690).</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closing of the offering is expected to occur in two tranches. At the first closing, the holders exercised certain outstanding preferred investment options to purchase up to an aggregate of 12,064,627 shares of common stock, having exercise prices ranging from $1.50 to $2.13 per share, issued by Microbot in June 2024, January 2025 and February 2025, and in consideration for the exercise of the preferred investment options for cash, Microbot issued to such holders new unregistered short-term series J preferred investment options to purchase up to 12,064,627 shares of common stock. The second closing of the offering is expected to occur by no later than October 15, 2025, subject to satisfaction of customary closing conditions. At the second closing, a holder will exercise certain outstanding preferred investment options to purchase up to an aggregate of 1,924,488 shares of common stock, having an exercise price of $2.10 per share, issued by Microbot in January 2025, and in consideration for the exercise of the preferred investment options for cash, Microbot will issue to such holder new unregistered short-term series J preferred investment options to purchase up to 1,924,488 shares of common stock. The new short-term series J preferred investment options will have an exercise price of $4.50 per share, will be exercisable beginning six months after issuance and have a term equal to two years thereafter.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acted as the exclusive placement agent for the offering.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gross proceeds to the Company were approximately $25.2 million from the first closing of the offering and are expected to be approximately $4 million from the second closing of the offering, in each case prior to deducting placement agent fees and offering expenses. The potential additional gross proceeds to the Company from the short-term series J preferred investment options, if fully-exercised on a cash basis, will be approximately $63 million. No assurance can be given that any of such short-term series J preferred investment options will be exercised. The Company intends to use the net proceeds</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from the offering for the continued development, commercialization and regulatory activities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potential acquisitions of complementary assets or products, expansion and development of additional applications derived from the Company’s existing IP portfolio, and for working capital and other general corporate purposes.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new short-term series J preferred investment options described above were offered in a private placement pursuant to an applicable exemption from the registration requirements of the Securities Act of 1933, as amended (the “1933 Act”), and, along with the shares of common stock issuable upon exercise, have not been registered under the 1933 Act, and may not be offered or sold in the United States absent registration with the Securities and Exchange Commission (“SEC”) or an applicable exemption from such registration requirements. Microbot has agreed to file a registration statement with the SEC covering the resale of the shares of common stock issuable upon exercise of the new short-term series J preferred investment options.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the securities in this offering,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breakthrough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first single-use, remotely operated robotic solution designed for precision, efficiency and provider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the completion of the second closing of the offering, the satisfaction of customary closing conditions related to the second closing of the offering, the exercise of the unregistered short-term series J preferred investment options prior to their expiration, the intended use of proceeds from the offering, the Company’s need for and ability to obtain additional working capital to continue its transition to a commercially focused company, market conditions, risks inherent in</w:t>
      </w:r>
    </w:p>
    <w:p>
      <w:pPr>
        <w:spacing w:after="0" w:line="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7"/>
          <w:szCs w:val="17"/>
          <w:color w:val="auto"/>
        </w:rPr>
        <w:t>the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 maintenance of intellectual property rights. Additional information on risks facing Microbot Medical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can be found under the heading “Risk Factors” in Microbot Medical’s periodic reports filed with</w:t>
      </w:r>
    </w:p>
    <w:p>
      <w:pPr>
        <w:spacing w:after="0" w:line="4"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 xml:space="preserve">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lowerRoman"/>
      <w:start w:val="2"/>
    </w:lvl>
  </w:abstractNum>
  <w:abstractNum w:abstractNumId="2">
    <w:nsid w:val="836C40E"/>
    <w:multiLevelType w:val="hybridMultilevel"/>
    <w:lvl w:ilvl="0">
      <w:lvlJc w:val="left"/>
      <w:lvlText w:val="(%1)"/>
      <w:numFmt w:val="lowerLetter"/>
      <w:start w:val="4"/>
    </w:lvl>
  </w:abstractNum>
  <w:abstractNum w:abstractNumId="3">
    <w:nsid w:val="2901D82"/>
    <w:multiLevelType w:val="hybridMultilevel"/>
    <w:lvl w:ilvl="0">
      <w:lvlJc w:val="left"/>
      <w:lvlText w:val="1"/>
      <w:numFmt w:val="bullet"/>
      <w:start w:val="1"/>
    </w:lvl>
  </w:abstractNum>
  <w:abstractNum w:abstractNumId="4">
    <w:nsid w:val="3A95F874"/>
    <w:multiLevelType w:val="hybridMultilevel"/>
    <w:lvl w:ilvl="0">
      <w:lvlJc w:val="left"/>
      <w:lvlText w:val="%1)"/>
      <w:numFmt w:val="lowerLetter"/>
      <w:start w:val="1"/>
    </w:lvl>
  </w:abstractNum>
  <w:abstractNum w:abstractNumId="5">
    <w:nsid w:val="8138641"/>
    <w:multiLevelType w:val="hybridMultilevel"/>
    <w:lvl w:ilvl="0">
      <w:lvlJc w:val="left"/>
      <w:lvlText w:val="%1)"/>
      <w:numFmt w:val="lowerLetter"/>
      <w:start w:val="2"/>
    </w:lvl>
  </w:abstractNum>
  <w:abstractNum w:abstractNumId="6">
    <w:nsid w:val="1E7FF521"/>
    <w:multiLevelType w:val="hybridMultilevel"/>
    <w:lvl w:ilvl="0">
      <w:lvlJc w:val="left"/>
      <w:lvlText w:val="(%1)"/>
      <w:numFmt w:val="upperLetter"/>
      <w:start w:val="1"/>
    </w:lvl>
  </w:abstractNum>
  <w:abstractNum w:abstractNumId="7">
    <w:nsid w:val="7C3DBD3D"/>
    <w:multiLevelType w:val="hybridMultilevel"/>
    <w:lvl w:ilvl="0">
      <w:lvlJc w:val="left"/>
      <w:lvlText w:val="(%1)"/>
      <w:numFmt w:val="upperLetter"/>
      <w:start w:val="24"/>
    </w:lvl>
  </w:abstractNum>
  <w:abstractNum w:abstractNumId="8">
    <w:nsid w:val="737B8DDC"/>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2"/>
    </w:lvl>
  </w:abstractNum>
  <w:abstractNum w:abstractNumId="9">
    <w:nsid w:val="6CEAF087"/>
    <w:multiLevelType w:val="hybridMultilevel"/>
    <w:lvl w:ilvl="0">
      <w:lvlJc w:val="left"/>
      <w:lvlText w:val="%1"/>
      <w:numFmt w:val="lowerRoman"/>
      <w:start w:val="1"/>
    </w:lvl>
    <w:lvl w:ilvl="1">
      <w:lvlJc w:val="left"/>
      <w:lvlText w:val="%2."/>
      <w:numFmt w:val="lowerRoman"/>
      <w:start w:val="3"/>
    </w:lvl>
  </w:abstractNum>
  <w:abstractNum w:abstractNumId="10">
    <w:nsid w:val="22221A70"/>
    <w:multiLevelType w:val="hybridMultilevel"/>
    <w:lvl w:ilvl="0">
      <w:lvlJc w:val="left"/>
      <w:lvlText w:val="(%1)"/>
      <w:numFmt w:val="lowerRoman"/>
      <w:start w:val="10"/>
    </w:lvl>
    <w:lvl w:ilvl="1">
      <w:lvlJc w:val="left"/>
      <w:lvlText w:val="%2."/>
      <w:numFmt w:val="lowerRoman"/>
      <w:start w:val="5"/>
    </w:lvl>
  </w:abstractNum>
  <w:abstractNum w:abstractNumId="11">
    <w:nsid w:val="4516DDE9"/>
    <w:multiLevelType w:val="hybridMultilevel"/>
    <w:lvl w:ilvl="0">
      <w:lvlJc w:val="left"/>
      <w:lvlText w:val="%1"/>
      <w:numFmt w:val="lowerLetter"/>
      <w:start w:val="1"/>
    </w:lvl>
    <w:lvl w:ilvl="1">
      <w:lvlJc w:val="left"/>
      <w:lvlText w:val="%2."/>
      <w:numFmt w:val="lowerRoman"/>
      <w:start w:val="6"/>
    </w:lvl>
  </w:abstractNum>
  <w:abstractNum w:abstractNumId="12">
    <w:nsid w:val="3006C83E"/>
    <w:multiLevelType w:val="hybridMultilevel"/>
    <w:lvl w:ilvl="0">
      <w:lvlJc w:val="left"/>
      <w:lvlText w:val="%1)"/>
      <w:numFmt w:val="lowerLetter"/>
      <w:start w:val="5"/>
    </w:lvl>
    <w:lvl w:ilvl="1">
      <w:lvlJc w:val="left"/>
      <w:lvlText w:val="%2"/>
      <w:numFmt w:val="lowerRoman"/>
      <w:start w:val="1"/>
    </w:lvl>
  </w:abstractNum>
  <w:abstractNum w:abstractNumId="13">
    <w:nsid w:val="614FD4A1"/>
    <w:multiLevelType w:val="hybridMultilevel"/>
    <w:lvl w:ilvl="0">
      <w:lvlJc w:val="left"/>
      <w:lvlText w:val="%1)"/>
      <w:numFmt w:val="lowerLetter"/>
      <w:start w:val="1"/>
    </w:lvl>
  </w:abstractNum>
  <w:abstractNum w:abstractNumId="14">
    <w:nsid w:val="419AC241"/>
    <w:multiLevelType w:val="hybridMultilevel"/>
    <w:lvl w:ilvl="0">
      <w:lvlJc w:val="left"/>
      <w:lvlText w:val="%1"/>
      <w:numFmt w:val="lowerRoman"/>
      <w:start w:val="1"/>
    </w:lvl>
    <w:lvl w:ilvl="1">
      <w:lvlJc w:val="left"/>
      <w:lvlText w:val="%2)"/>
      <w:numFmt w:val="lowerLetter"/>
      <w:start w:val="4"/>
    </w:lvl>
  </w:abstractNum>
  <w:abstractNum w:abstractNumId="15">
    <w:nsid w:val="5577F8E1"/>
    <w:multiLevelType w:val="hybridMultilevel"/>
    <w:lvl w:ilvl="0">
      <w:lvlJc w:val="left"/>
      <w:lvlText w:val="(%1)"/>
      <w:numFmt w:val="lowerRoman"/>
      <w:start w:val="1"/>
    </w:lvl>
    <w:lvl w:ilvl="1">
      <w:lvlJc w:val="left"/>
      <w:lvlText w:val="%2"/>
      <w:numFmt w:val="lowerLetter"/>
      <w:start w:val="1"/>
    </w:lvl>
  </w:abstractNum>
  <w:abstractNum w:abstractNumId="16">
    <w:nsid w:val="440BADFC"/>
    <w:multiLevelType w:val="hybridMultilevel"/>
    <w:lvl w:ilvl="0">
      <w:lvlJc w:val="left"/>
      <w:lvlText w:val="%1)"/>
      <w:numFmt w:val="lowerLetter"/>
      <w:start w:val="5"/>
    </w:lvl>
    <w:lvl w:ilvl="1">
      <w:lvlJc w:val="left"/>
      <w:lvlText w:val="%2."/>
      <w:numFmt w:val="lowerRoman"/>
      <w:start w:val="1"/>
    </w:lvl>
  </w:abstractNum>
  <w:abstractNum w:abstractNumId="17">
    <w:nsid w:val="5072367"/>
    <w:multiLevelType w:val="hybridMultilevel"/>
    <w:lvl w:ilvl="0">
      <w:lvlJc w:val="left"/>
      <w:lvlText w:val="%1)"/>
      <w:numFmt w:val="lowerLetter"/>
      <w:start w:val="1"/>
    </w:lvl>
  </w:abstractNum>
  <w:abstractNum w:abstractNumId="18">
    <w:nsid w:val="3804823E"/>
    <w:multiLevelType w:val="hybridMultilevel"/>
    <w:lvl w:ilvl="0">
      <w:lvlJc w:val="left"/>
      <w:lvlText w:val="%1)"/>
      <w:numFmt w:val="lowerLetter"/>
      <w:start w:val="2"/>
    </w:lvl>
  </w:abstractNum>
  <w:abstractNum w:abstractNumId="19">
    <w:nsid w:val="77465F01"/>
    <w:multiLevelType w:val="hybridMultilevel"/>
    <w:lvl w:ilvl="0">
      <w:lvlJc w:val="left"/>
      <w:lvlText w:val="%1)"/>
      <w:numFmt w:val="lowerLetter"/>
      <w:start w:val="1"/>
    </w:lvl>
  </w:abstractNum>
  <w:abstractNum w:abstractNumId="20">
    <w:nsid w:val="7724C67E"/>
    <w:multiLevelType w:val="hybridMultilevel"/>
    <w:lvl w:ilvl="0">
      <w:lvlJc w:val="left"/>
      <w:lvlText w:val="%1)"/>
      <w:numFmt w:val="lowerLetter"/>
      <w:start w:val="5"/>
    </w:lvl>
  </w:abstractNum>
  <w:abstractNum w:abstractNumId="21">
    <w:nsid w:val="5C482A97"/>
    <w:multiLevelType w:val="hybridMultilevel"/>
    <w:lvl w:ilvl="0">
      <w:lvlJc w:val="left"/>
      <w:lvlText w:val="%1)"/>
      <w:numFmt w:val="lowerLetter"/>
      <w:start w:val="6"/>
    </w:lvl>
  </w:abstractNum>
  <w:abstractNum w:abstractNumId="22">
    <w:nsid w:val="2463B9EA"/>
    <w:multiLevelType w:val="hybridMultilevel"/>
    <w:lvl w:ilvl="0">
      <w:lvlJc w:val="left"/>
      <w:lvlText w:val="%1)"/>
      <w:numFmt w:val="lowerLetter"/>
      <w:start w:val="9"/>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1)"/>
      <w:numFmt w:val="decimal"/>
      <w:start w:val="3"/>
    </w:lvl>
  </w:abstractNum>
  <w:abstractNum w:abstractNumId="25">
    <w:nsid w:val="2D517796"/>
    <w:multiLevelType w:val="hybridMultilevel"/>
    <w:lvl w:ilvl="0">
      <w:lvlJc w:val="left"/>
      <w:lvlText w:val="(%1)"/>
      <w:numFmt w:val="decimal"/>
      <w:start w:val="4"/>
    </w:lvl>
  </w:abstractNum>
  <w:abstractNum w:abstractNumId="26">
    <w:nsid w:val="580BD78F"/>
    <w:multiLevelType w:val="hybridMultilevel"/>
    <w:lvl w:ilvl="0">
      <w:lvlJc w:val="left"/>
      <w:lvlText w:val="%1)"/>
      <w:numFmt w:val="lowerLetter"/>
      <w:start w:val="1"/>
    </w:lvl>
  </w:abstractNum>
  <w:abstractNum w:abstractNumId="27">
    <w:nsid w:val="153EA438"/>
    <w:multiLevelType w:val="hybridMultilevel"/>
    <w:lvl w:ilvl="0">
      <w:lvlJc w:val="left"/>
      <w:lvlText w:val="%1)"/>
      <w:numFmt w:val="lowerLetter"/>
      <w:start w:val="2"/>
    </w:lvl>
  </w:abstractNum>
  <w:abstractNum w:abstractNumId="28">
    <w:nsid w:val="3855585C"/>
    <w:multiLevelType w:val="hybridMultilevel"/>
    <w:lvl w:ilvl="0">
      <w:lvlJc w:val="left"/>
      <w:lvlText w:val="(%1)"/>
      <w:numFmt w:val="upperLetter"/>
      <w:start w:val="1"/>
    </w:lvl>
  </w:abstractNum>
  <w:abstractNum w:abstractNumId="29">
    <w:nsid w:val="70A64E2A"/>
    <w:multiLevelType w:val="hybridMultilevel"/>
    <w:lvl w:ilvl="0">
      <w:lvlJc w:val="left"/>
      <w:lvlText w:val="(%1)"/>
      <w:numFmt w:val="upperLetter"/>
      <w:start w:val="24"/>
    </w:lvl>
  </w:abstractNum>
  <w:abstractNum w:abstractNumId="30">
    <w:nsid w:val="6A2342EC"/>
    <w:multiLevelType w:val="hybridMultilevel"/>
    <w:lvl w:ilvl="0">
      <w:lvlJc w:val="left"/>
      <w:lvlText w:val="%1)"/>
      <w:numFmt w:val="lowerLetter"/>
      <w:start w:val="4"/>
    </w:lvl>
    <w:lvl w:ilvl="1">
      <w:lvlJc w:val="left"/>
      <w:lvlText w:val="%2."/>
      <w:numFmt w:val="lowerRoman"/>
      <w:start w:val="1"/>
    </w:lvl>
  </w:abstractNum>
  <w:abstractNum w:abstractNumId="31">
    <w:nsid w:val="2A487CB0"/>
    <w:multiLevelType w:val="hybridMultilevel"/>
    <w:lvl w:ilvl="0">
      <w:lvlJc w:val="left"/>
      <w:lvlText w:val="%1"/>
      <w:numFmt w:val="lowerRoman"/>
      <w:start w:val="1"/>
    </w:lvl>
    <w:lvl w:ilvl="1">
      <w:lvlJc w:val="left"/>
      <w:lvlText w:val="%2."/>
      <w:numFmt w:val="lowerRoman"/>
      <w:start w:val="3"/>
    </w:lvl>
  </w:abstractNum>
  <w:abstractNum w:abstractNumId="32">
    <w:nsid w:val="1D4ED43B"/>
    <w:multiLevelType w:val="hybridMultilevel"/>
    <w:lvl w:ilvl="0">
      <w:lvlJc w:val="left"/>
      <w:lvlText w:val="(%1)"/>
      <w:numFmt w:val="lowerRoman"/>
      <w:start w:val="10"/>
    </w:lvl>
    <w:lvl w:ilvl="1">
      <w:lvlJc w:val="left"/>
      <w:lvlText w:val="%2."/>
      <w:numFmt w:val="lowerRoman"/>
      <w:start w:val="5"/>
    </w:lvl>
  </w:abstractNum>
  <w:abstractNum w:abstractNumId="33">
    <w:nsid w:val="725A06FB"/>
    <w:multiLevelType w:val="hybridMultilevel"/>
    <w:lvl w:ilvl="0">
      <w:lvlJc w:val="left"/>
      <w:lvlText w:val="%1"/>
      <w:numFmt w:val="lowerLetter"/>
      <w:start w:val="1"/>
    </w:lvl>
    <w:lvl w:ilvl="1">
      <w:lvlJc w:val="left"/>
      <w:lvlText w:val="%2."/>
      <w:numFmt w:val="lowerRoman"/>
      <w:start w:val="6"/>
    </w:lvl>
  </w:abstractNum>
  <w:abstractNum w:abstractNumId="34">
    <w:nsid w:val="2CD89A32"/>
    <w:multiLevelType w:val="hybridMultilevel"/>
    <w:lvl w:ilvl="0">
      <w:lvlJc w:val="left"/>
      <w:lvlText w:val="%1)"/>
      <w:numFmt w:val="lowerLetter"/>
      <w:start w:val="5"/>
    </w:lvl>
    <w:lvl w:ilvl="1">
      <w:lvlJc w:val="left"/>
      <w:lvlText w:val="%2"/>
      <w:numFmt w:val="lowerRoman"/>
      <w:start w:val="1"/>
    </w:lvl>
  </w:abstractNum>
  <w:abstractNum w:abstractNumId="35">
    <w:nsid w:val="57E4CCAF"/>
    <w:multiLevelType w:val="hybridMultilevel"/>
    <w:lvl w:ilvl="0">
      <w:lvlJc w:val="left"/>
      <w:lvlText w:val="%1)"/>
      <w:numFmt w:val="lowerLetter"/>
      <w:start w:val="1"/>
    </w:lvl>
  </w:abstractNum>
  <w:abstractNum w:abstractNumId="36">
    <w:nsid w:val="7A6D8D3C"/>
    <w:multiLevelType w:val="hybridMultilevel"/>
    <w:lvl w:ilvl="0">
      <w:lvlJc w:val="left"/>
      <w:lvlText w:val="%1"/>
      <w:numFmt w:val="lowerRoman"/>
      <w:start w:val="1"/>
    </w:lvl>
    <w:lvl w:ilvl="1">
      <w:lvlJc w:val="left"/>
      <w:lvlText w:val="%2)"/>
      <w:numFmt w:val="lowerLetter"/>
      <w:start w:val="4"/>
    </w:lvl>
  </w:abstractNum>
  <w:abstractNum w:abstractNumId="37">
    <w:nsid w:val="4B588F54"/>
    <w:multiLevelType w:val="hybridMultilevel"/>
    <w:lvl w:ilvl="0">
      <w:lvlJc w:val="left"/>
      <w:lvlText w:val="(%1)"/>
      <w:numFmt w:val="lowerRoman"/>
      <w:start w:val="1"/>
    </w:lvl>
    <w:lvl w:ilvl="1">
      <w:lvlJc w:val="left"/>
      <w:lvlText w:val="%2"/>
      <w:numFmt w:val="lowerLetter"/>
      <w:start w:val="1"/>
    </w:lvl>
  </w:abstractNum>
  <w:abstractNum w:abstractNumId="38">
    <w:nsid w:val="542289EC"/>
    <w:multiLevelType w:val="hybridMultilevel"/>
    <w:lvl w:ilvl="0">
      <w:lvlJc w:val="left"/>
      <w:lvlText w:val="%1)"/>
      <w:numFmt w:val="lowerLetter"/>
      <w:start w:val="5"/>
    </w:lvl>
    <w:lvl w:ilvl="1">
      <w:lvlJc w:val="left"/>
      <w:lvlText w:val="%2."/>
      <w:numFmt w:val="lowerRoman"/>
      <w:start w:val="1"/>
    </w:lvl>
  </w:abstractNum>
  <w:abstractNum w:abstractNumId="39">
    <w:nsid w:val="6DE91B18"/>
    <w:multiLevelType w:val="hybridMultilevel"/>
    <w:lvl w:ilvl="0">
      <w:lvlJc w:val="left"/>
      <w:lvlText w:val="%1)"/>
      <w:numFmt w:val="lowerLetter"/>
      <w:start w:val="1"/>
    </w:lvl>
  </w:abstractNum>
  <w:abstractNum w:abstractNumId="40">
    <w:nsid w:val="38437FDB"/>
    <w:multiLevelType w:val="hybridMultilevel"/>
    <w:lvl w:ilvl="0">
      <w:lvlJc w:val="left"/>
      <w:lvlText w:val="%1)"/>
      <w:numFmt w:val="lowerLetter"/>
      <w:start w:val="2"/>
    </w:lvl>
  </w:abstractNum>
  <w:abstractNum w:abstractNumId="41">
    <w:nsid w:val="7644A45C"/>
    <w:multiLevelType w:val="hybridMultilevel"/>
    <w:lvl w:ilvl="0">
      <w:lvlJc w:val="left"/>
      <w:lvlText w:val="%1)"/>
      <w:numFmt w:val="lowerLetter"/>
      <w:start w:val="5"/>
    </w:lvl>
  </w:abstractNum>
  <w:abstractNum w:abstractNumId="42">
    <w:nsid w:val="32FFF902"/>
    <w:multiLevelType w:val="hybridMultilevel"/>
    <w:lvl w:ilvl="0">
      <w:lvlJc w:val="left"/>
      <w:lvlText w:val="%1)"/>
      <w:numFmt w:val="lowerLetter"/>
      <w:start w:val="1"/>
    </w:lvl>
  </w:abstractNum>
  <w:abstractNum w:abstractNumId="43">
    <w:nsid w:val="684A481A"/>
    <w:multiLevelType w:val="hybridMultilevel"/>
    <w:lvl w:ilvl="0">
      <w:lvlJc w:val="left"/>
      <w:lvlText w:val="%1)"/>
      <w:numFmt w:val="lowerLetter"/>
      <w:start w:val="5"/>
    </w:lvl>
  </w:abstractNum>
  <w:abstractNum w:abstractNumId="44">
    <w:nsid w:val="579478FE"/>
    <w:multiLevelType w:val="hybridMultilevel"/>
    <w:lvl w:ilvl="0">
      <w:lvlJc w:val="left"/>
      <w:lvlText w:val="%1)"/>
      <w:numFmt w:val="lowerLetter"/>
      <w:start w:val="6"/>
    </w:lvl>
  </w:abstractNum>
  <w:abstractNum w:abstractNumId="45">
    <w:nsid w:val="749ABB43"/>
    <w:multiLevelType w:val="hybridMultilevel"/>
    <w:lvl w:ilvl="0">
      <w:lvlJc w:val="left"/>
      <w:lvlText w:val="%1)"/>
      <w:numFmt w:val="lowerLetter"/>
      <w:start w:val="9"/>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2"/>
    </w:lvl>
    <w:lvl w:ilvl="1">
      <w:lvlJc w:val="left"/>
      <w:lvlText w:val="["/>
      <w:numFmt w:val="bullet"/>
      <w:start w:val="1"/>
    </w:lvl>
  </w:abstractNum>
  <w:abstractNum w:abstractNumId="48">
    <w:nsid w:val="79A1DEAA"/>
    <w:multiLevelType w:val="hybridMultilevel"/>
    <w:lvl w:ilvl="0">
      <w:lvlJc w:val="left"/>
      <w:lvlText w:val="(%1)"/>
      <w:numFmt w:val="decimal"/>
      <w:start w:val="4"/>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lowerLetter"/>
      <w:start w:val="4"/>
    </w:lvl>
  </w:abstractNum>
  <w:abstractNum w:abstractNumId="51">
    <w:nsid w:val="70C6A529"/>
    <w:multiLevelType w:val="hybridMultilevel"/>
    <w:lvl w:ilvl="0">
      <w:lvlJc w:val="left"/>
      <w:lvlText w:val="%1)"/>
      <w:numFmt w:val="lowerLetter"/>
      <w:start w:val="7"/>
    </w:lvl>
    <w:lvl w:ilvl="1">
      <w:lvlJc w:val="left"/>
      <w:lvlText w:val="(%2)"/>
      <w:numFmt w:val="lowerRoman"/>
      <w:start w:val="1"/>
    </w:lvl>
  </w:abstractNum>
  <w:abstractNum w:abstractNumId="52">
    <w:nsid w:val="520EEDD1"/>
    <w:multiLevelType w:val="hybridMultilevel"/>
    <w:lvl w:ilvl="0">
      <w:lvlJc w:val="left"/>
      <w:lvlText w:val="%1"/>
      <w:numFmt w:val="lowerLetter"/>
      <w:start w:val="1"/>
    </w:lvl>
    <w:lvl w:ilvl="1">
      <w:lvlJc w:val="left"/>
      <w:lvlText w:val="(%2)"/>
      <w:numFmt w:val="lowerRoman"/>
      <w:start w:val="1"/>
    </w:lvl>
  </w:abstractNum>
  <w:abstractNum w:abstractNumId="53">
    <w:nsid w:val="374A3FE6"/>
    <w:multiLevelType w:val="hybridMultilevel"/>
    <w:lvl w:ilvl="0">
      <w:lvlJc w:val="left"/>
      <w:lvlText w:val="%1)"/>
      <w:numFmt w:val="lowerLetter"/>
      <w:start w:val="9"/>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2025-09-16T16:11:46Z</dcterms:created>
  <dcterms:modified xsi:type="dcterms:W3CDTF">2025-09-16T16:11:46Z</dcterms:modified>
</cp:coreProperties>
</file>