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13 or 15(d)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144780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0"/>
              </w:rPr>
              <w:t>0-19871</w:t>
            </w:r>
          </w:p>
        </w:tc>
        <w:tc>
          <w:tcPr>
            <w:tcW w:w="1180" w:type="dxa"/>
            <w:vAlign w:val="bottom"/>
          </w:tcPr>
          <w:p>
            <w:pPr>
              <w:spacing w:after="0"/>
              <w:rPr>
                <w:sz w:val="19"/>
                <w:szCs w:val="19"/>
                <w:color w:val="auto"/>
              </w:rPr>
            </w:pPr>
          </w:p>
        </w:tc>
        <w:tc>
          <w:tcPr>
            <w:tcW w:w="304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94-3078125</w:t>
            </w:r>
          </w:p>
        </w:tc>
      </w:tr>
      <w:tr>
        <w:trPr>
          <w:trHeight w:val="216"/>
        </w:trPr>
        <w:tc>
          <w:tcPr>
            <w:tcW w:w="3120" w:type="dxa"/>
            <w:vAlign w:val="bottom"/>
          </w:tcPr>
          <w:p>
            <w:pPr>
              <w:jc w:val="center"/>
              <w:ind w:left="250"/>
              <w:spacing w:after="0"/>
              <w:rPr>
                <w:sz w:val="20"/>
                <w:szCs w:val="20"/>
                <w:color w:val="auto"/>
              </w:rPr>
            </w:pPr>
            <w:r>
              <w:rPr>
                <w:rFonts w:ascii="Arial" w:cs="Arial" w:eastAsia="Arial" w:hAnsi="Arial"/>
                <w:sz w:val="18"/>
                <w:szCs w:val="18"/>
                <w:color w:val="auto"/>
                <w:w w:val="92"/>
              </w:rPr>
              <w:t>(State or other jurisdiction</w:t>
            </w:r>
          </w:p>
        </w:tc>
        <w:tc>
          <w:tcPr>
            <w:tcW w:w="1100" w:type="dxa"/>
            <w:vAlign w:val="bottom"/>
          </w:tcPr>
          <w:p>
            <w:pPr>
              <w:spacing w:after="0"/>
              <w:rPr>
                <w:sz w:val="18"/>
                <w:szCs w:val="18"/>
                <w:color w:val="auto"/>
              </w:rPr>
            </w:pPr>
          </w:p>
        </w:tc>
        <w:tc>
          <w:tcPr>
            <w:tcW w:w="416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right="290"/>
              <w:spacing w:after="0"/>
              <w:rPr>
                <w:sz w:val="20"/>
                <w:szCs w:val="20"/>
                <w:color w:val="auto"/>
              </w:rPr>
            </w:pPr>
            <w:r>
              <w:rPr>
                <w:rFonts w:ascii="Arial" w:cs="Arial" w:eastAsia="Arial" w:hAnsi="Arial"/>
                <w:sz w:val="18"/>
                <w:szCs w:val="18"/>
                <w:color w:val="auto"/>
                <w:w w:val="92"/>
              </w:rPr>
              <w:t>(I.R.S. Employer</w:t>
            </w:r>
          </w:p>
        </w:tc>
      </w:tr>
      <w:tr>
        <w:trPr>
          <w:trHeight w:val="230"/>
        </w:trPr>
        <w:tc>
          <w:tcPr>
            <w:tcW w:w="3120" w:type="dxa"/>
            <w:vAlign w:val="bottom"/>
          </w:tcPr>
          <w:p>
            <w:pPr>
              <w:jc w:val="center"/>
              <w:ind w:left="25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40" w:type="dxa"/>
            <w:vAlign w:val="bottom"/>
          </w:tcPr>
          <w:p>
            <w:pPr>
              <w:jc w:val="center"/>
              <w:ind w:right="290"/>
              <w:spacing w:after="0"/>
              <w:rPr>
                <w:sz w:val="20"/>
                <w:szCs w:val="20"/>
                <w:color w:val="auto"/>
              </w:rPr>
            </w:pPr>
            <w:r>
              <w:rPr>
                <w:rFonts w:ascii="Arial" w:cs="Arial" w:eastAsia="Arial" w:hAnsi="Arial"/>
                <w:sz w:val="18"/>
                <w:szCs w:val="18"/>
                <w:color w:val="auto"/>
                <w:w w:val="94"/>
              </w:rPr>
              <w:t>Identification Number)</w:t>
            </w:r>
          </w:p>
        </w:tc>
      </w:tr>
      <w:tr>
        <w:trPr>
          <w:trHeight w:val="387"/>
        </w:trPr>
        <w:tc>
          <w:tcPr>
            <w:tcW w:w="3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6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3"/>
              </w:rPr>
              <w:t>3155 Porter Drive</w:t>
            </w:r>
          </w:p>
        </w:tc>
        <w:tc>
          <w:tcPr>
            <w:tcW w:w="304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6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2"/>
              </w:rPr>
              <w:t>Palo Alto, California 94304</w:t>
            </w:r>
          </w:p>
        </w:tc>
        <w:tc>
          <w:tcPr>
            <w:tcW w:w="3040" w:type="dxa"/>
            <w:vAlign w:val="bottom"/>
          </w:tcPr>
          <w:p>
            <w:pPr>
              <w:spacing w:after="0"/>
              <w:rPr>
                <w:sz w:val="20"/>
                <w:szCs w:val="20"/>
                <w:color w:val="auto"/>
              </w:rPr>
            </w:pPr>
          </w:p>
        </w:tc>
      </w:tr>
      <w:tr>
        <w:trPr>
          <w:trHeight w:val="392"/>
        </w:trPr>
        <w:tc>
          <w:tcPr>
            <w:tcW w:w="3120" w:type="dxa"/>
            <w:vAlign w:val="bottom"/>
          </w:tcPr>
          <w:p>
            <w:pPr>
              <w:spacing w:after="0"/>
              <w:rPr>
                <w:sz w:val="24"/>
                <w:szCs w:val="24"/>
                <w:color w:val="auto"/>
              </w:rPr>
            </w:pPr>
          </w:p>
        </w:tc>
        <w:tc>
          <w:tcPr>
            <w:tcW w:w="52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04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408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0"/>
              </w:rPr>
              <w:t>(650) 475-3100</w:t>
            </w:r>
          </w:p>
        </w:tc>
        <w:tc>
          <w:tcPr>
            <w:tcW w:w="1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405"/>
        </w:trPr>
        <w:tc>
          <w:tcPr>
            <w:tcW w:w="3120" w:type="dxa"/>
            <w:vAlign w:val="bottom"/>
          </w:tcPr>
          <w:p>
            <w:pPr>
              <w:spacing w:after="0"/>
              <w:rPr>
                <w:sz w:val="24"/>
                <w:szCs w:val="24"/>
                <w:color w:val="auto"/>
              </w:rPr>
            </w:pPr>
          </w:p>
        </w:tc>
        <w:tc>
          <w:tcPr>
            <w:tcW w:w="52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(Registrant’s Telephone number including area code)</w:t>
            </w:r>
          </w:p>
        </w:tc>
        <w:tc>
          <w:tcPr>
            <w:tcW w:w="3040" w:type="dxa"/>
            <w:vAlign w:val="bottom"/>
          </w:tcPr>
          <w:p>
            <w:pPr>
              <w:spacing w:after="0"/>
              <w:rPr>
                <w:sz w:val="24"/>
                <w:szCs w:val="24"/>
                <w:color w:val="auto"/>
              </w:rPr>
            </w:pPr>
          </w:p>
        </w:tc>
      </w:tr>
      <w:tr>
        <w:trPr>
          <w:trHeight w:val="176"/>
        </w:trPr>
        <w:tc>
          <w:tcPr>
            <w:tcW w:w="3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80" w:type="dxa"/>
            <w:vAlign w:val="bottom"/>
            <w:tcBorders>
              <w:bottom w:val="single" w:sz="8" w:color="808080"/>
            </w:tcBorders>
          </w:tcPr>
          <w:p>
            <w:pPr>
              <w:spacing w:after="0"/>
              <w:rPr>
                <w:sz w:val="15"/>
                <w:szCs w:val="15"/>
                <w:color w:val="auto"/>
              </w:rPr>
            </w:pPr>
          </w:p>
        </w:tc>
        <w:tc>
          <w:tcPr>
            <w:tcW w:w="11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166"/>
        </w:trPr>
        <w:tc>
          <w:tcPr>
            <w:tcW w:w="3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61"/>
        </w:trPr>
        <w:tc>
          <w:tcPr>
            <w:tcW w:w="31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29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r>
      <w:tr>
        <w:trPr>
          <w:trHeight w:val="615"/>
        </w:trPr>
        <w:tc>
          <w:tcPr>
            <w:tcW w:w="31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12. RESULTS OF OPERATIONS AND FINANCIAL CONDITION.</w:t>
        </w:r>
      </w:hyperlink>
    </w:p>
    <w:p>
      <w:pPr>
        <w:spacing w:after="0" w:line="3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12. RESULTS OF OPERATIONS AND FINANCIAL CONDITION.</w:t>
      </w:r>
    </w:p>
    <w:p>
      <w:pPr>
        <w:spacing w:after="0" w:line="19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April 6, 2004, StemCells, Inc. (the “Company”) issued a press release reporting the Company’s financial results for the fourth quarter of fiscal year 2003 and the full 2003 fiscal year ended December 31, 2003 (the “Press Release”). The Press release also contains information regarding the report of Grant Thornton LLP, independent auditors, included in the Company’s 2003 Form 10-K. The Press Release is being furnished as Exhibit 99.1 to this Report.</w:t>
      </w:r>
    </w:p>
    <w:p>
      <w:pPr>
        <w:spacing w:after="0" w:line="10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being furnished under this Item 12 shall not be deemed “filed” for purposes of Section 18 of the Securities and Exchange Act of 1934, nor shall it be deemed incorporated by reference in any filing under the Securities Act of 1933 or the Securities and Exchange Act of 1934, except as shall be expressly set forth by specific reference.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99.1 Press Release dated April 6, 2004</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2776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76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StemCells, Inc. (Ticker: STEM, Exchange: NASDAQ)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Release—April 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STEMCELLS ANNOUNCES FOURTH QUARTER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YEAR END 2003 FINANCIAL RESULTS</w:t>
      </w:r>
    </w:p>
    <w:p>
      <w:pPr>
        <w:spacing w:after="0" w:line="19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PALO ALTO, Calif., April 6, 2004 – StemCells, Inc. (NASDAQ: STEM) today reported its financial results for the fourth quarter and the year ended December 31, 2003.</w:t>
      </w:r>
    </w:p>
    <w:p>
      <w:pPr>
        <w:spacing w:after="0" w:line="14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reported a loss of $4,740,000, or $0.13 per share, for the fourth quarter ended December 31, 2003, compared to a loss of $3,051,000, or $0.11 per share, for the fourth quarter of 2002, all before dividends and deemed dividends. For the fiscal year ended December 31, 2003, the Company reported a loss of $12,291,000, or $0.38 per share, as compared to a loss of $11,644,000, or $0.46 per share, for the 2002 fiscal year, also before dividends and deemed dividends. The net loss after dividends and deemed dividends for the fiscal year 2003 is $14,425,000, or $0.45 per share, applicable to common shareholders as compared to a net loss of $13,276,000, or $0.53 per share, for the fiscal year 2002. Total revenue for 2003 was $273,000, compared with $415,000 in 2002. Revenue for 2003 and 2002 was primarily from grants and licensing agreements. Cash and cash equivalents were $13,082,000 at the end of 2003, compared with $4,236,000 at the end of 2002.</w:t>
      </w:r>
    </w:p>
    <w:p>
      <w:pPr>
        <w:spacing w:after="0" w:line="13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increase in net loss from 2002 to 2003 was primarily attributable to the revision of a reserve for expenses related to the lease of the Company’s former corporate headquarters in Rhode Island, offset by a decrease in operating expenses resulting from a cost reduction program initiated in the last quarter of 2002, the benefits of which flowed through into 2003. The revision is reflected in the amended annual reports (Form 10-K/A) filed for the years ended December 31, 2001 and 2002, and our annual report on Form 10-K for the year ended December 31, 2003. The afore mentioned reports were filed simultaneously on April 6, 2004.</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StemCells retained a new accounting firm to audit its financial statements and because of the new requirements under the Sarbanes-Oxley Act applicable to the Company, the Company required extra time to complete and file its annual report for 2003. Accordingly, on March 31, the Company filed a Form 12b-25 with the SEC notifying the Commission of its request for an extension of the filing date. Form 10-K has been filed within the 15-day time period permitted by the Commission’s rules.</w:t>
      </w:r>
    </w:p>
    <w:p>
      <w:pPr>
        <w:spacing w:after="0" w:line="1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Martin McGlynn, President and CEO of StemCells, commented, “We are proud of our many accomplishments in 2003. On the R&amp;D front, the company made great advances in the development of our stem cell technology to treat diseases of the Central Nervous System (CNS), liver and pancreas. Specifically, we reported data in three distinct animal models showing that our human neural stem cells 1) protect neurons from dying in a mouse model of neurodegenerative disease, 2) restore motor function in a mouse model of spinal cord injury, and 3) remyelinate nerve axons to restore function in injuries to the spinal cord and certain diseases, such as multiple sclerosis. The importance of our findings were further confirmed with the receipt of a Small Business Innovation Research (SBIR) grant from the National Institute of Neurological Disorders and Stroke (NINDS) to continue our research efforts in spinal cord injury with our collaborator Dr. Aileen Anderson, at the Reeve-Irvine Center at the University of California, Irvine.”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80"/>
        <w:spacing w:after="0" w:line="302" w:lineRule="auto"/>
        <w:rPr>
          <w:sz w:val="20"/>
          <w:szCs w:val="20"/>
          <w:color w:val="auto"/>
        </w:rPr>
      </w:pPr>
      <w:r>
        <w:rPr>
          <w:rFonts w:ascii="Arial" w:cs="Arial" w:eastAsia="Arial" w:hAnsi="Arial"/>
          <w:sz w:val="16"/>
          <w:szCs w:val="16"/>
          <w:color w:val="auto"/>
        </w:rPr>
        <w:t>Mr. McGlynn continued, “StemCells also publicly announced that we are targeting the filing of an IND with the FDA in the first quarter of 2005 for the treatment of Batten Disease, a neurodegenerative lysosomal storage disorder. Batten’s is a genetic disease that is always fatal to afflicted infants and children. The company held a Pre-IND meeting with the FDA in June 2003. We are currently on track with our projected goal and are working diligently to complete the necessary preclinical studies to fulfill the FDA’s requirements for this filing. A large part of our efforts in 2004 will be focused on this endeavor.”</w:t>
      </w:r>
    </w:p>
    <w:p>
      <w:pPr>
        <w:spacing w:after="0" w:line="12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“On the financial front, we made significant strides to strengthen and simplify our capital structure. All our convertible preferred shares were converted into common shares, thereby improving our stockholders’ equity on the balance sheet and in addition, eliminating any further cumulative dividend payments on the preferred shares. Despite the difficulties in the financial markets, we were also able to bring in $17.6 million in new financing from quality private investors. This accomplishment along with increased operational efficiencies is readily reflected in the increase in our cash position to $13.1 million at the end of 2003 versus $4.2 million at the end of 2002. Our new accounting firm has nonetheless included a going concern qualification in its audit opinion contained in the 2003 annual report. While we believe that our financial resources are sufficient to support our operations through the end of 2004, we will continue to work with our financial advisors to attract the additional capital we need to support our future activities, including an emphasis in 2004 on our goal to become, by 2005, the first company to transplant neural stem cells into humans.”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StemCells, Inc is a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Further information about the Company is available on its web site at www.stemcellsinc.com.</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entitled “Cautionary Factors Relevant to Forward-Looking Statements.”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Corporate Contact:</w:t>
            </w:r>
          </w:p>
        </w:tc>
        <w:tc>
          <w:tcPr>
            <w:tcW w:w="7400" w:type="dxa"/>
            <w:vAlign w:val="bottom"/>
          </w:tcPr>
          <w:p>
            <w:pPr>
              <w:ind w:left="1940"/>
              <w:spacing w:after="0"/>
              <w:rPr>
                <w:sz w:val="20"/>
                <w:szCs w:val="20"/>
                <w:color w:val="auto"/>
              </w:rPr>
            </w:pPr>
            <w:r>
              <w:rPr>
                <w:rFonts w:ascii="Arial" w:cs="Arial" w:eastAsia="Arial" w:hAnsi="Arial"/>
                <w:sz w:val="18"/>
                <w:szCs w:val="18"/>
                <w:color w:val="auto"/>
              </w:rPr>
              <w:t>Media / Investor Relations Contact: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StemCells, Inc.</w:t>
            </w:r>
          </w:p>
        </w:tc>
        <w:tc>
          <w:tcPr>
            <w:tcW w:w="7400" w:type="dxa"/>
            <w:vAlign w:val="bottom"/>
          </w:tcPr>
          <w:p>
            <w:pPr>
              <w:ind w:left="1940"/>
              <w:spacing w:after="0"/>
              <w:rPr>
                <w:sz w:val="20"/>
                <w:szCs w:val="20"/>
                <w:color w:val="auto"/>
              </w:rPr>
            </w:pPr>
            <w:r>
              <w:rPr>
                <w:rFonts w:ascii="Arial" w:cs="Arial" w:eastAsia="Arial" w:hAnsi="Arial"/>
                <w:sz w:val="18"/>
                <w:szCs w:val="18"/>
                <w:color w:val="auto"/>
              </w:rPr>
              <w:t>The Investor Relations Group</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Martin McGlynn, President &amp; CEO</w:t>
            </w:r>
          </w:p>
        </w:tc>
        <w:tc>
          <w:tcPr>
            <w:tcW w:w="7400" w:type="dxa"/>
            <w:vAlign w:val="bottom"/>
          </w:tcPr>
          <w:p>
            <w:pPr>
              <w:ind w:left="1940"/>
              <w:spacing w:after="0"/>
              <w:rPr>
                <w:sz w:val="20"/>
                <w:szCs w:val="20"/>
                <w:color w:val="auto"/>
              </w:rPr>
            </w:pPr>
            <w:r>
              <w:rPr>
                <w:rFonts w:ascii="Arial" w:cs="Arial" w:eastAsia="Arial" w:hAnsi="Arial"/>
                <w:sz w:val="18"/>
                <w:szCs w:val="18"/>
                <w:color w:val="auto"/>
              </w:rPr>
              <w:t>Janet Vasquez / Jane Lin</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650-475-3100, ext 108</w:t>
            </w:r>
          </w:p>
        </w:tc>
        <w:tc>
          <w:tcPr>
            <w:tcW w:w="7400" w:type="dxa"/>
            <w:vAlign w:val="bottom"/>
          </w:tcPr>
          <w:p>
            <w:pPr>
              <w:ind w:left="1940"/>
              <w:spacing w:after="0"/>
              <w:rPr>
                <w:sz w:val="20"/>
                <w:szCs w:val="20"/>
                <w:color w:val="auto"/>
              </w:rPr>
            </w:pPr>
            <w:r>
              <w:rPr>
                <w:rFonts w:ascii="Arial" w:cs="Arial" w:eastAsia="Arial" w:hAnsi="Arial"/>
                <w:sz w:val="18"/>
                <w:szCs w:val="18"/>
                <w:color w:val="auto"/>
              </w:rPr>
              <w:t>212-825-3210</w:t>
            </w:r>
          </w:p>
        </w:tc>
      </w:tr>
      <w:tr>
        <w:trPr>
          <w:trHeight w:val="392"/>
        </w:trPr>
        <w:tc>
          <w:tcPr>
            <w:tcW w:w="4020" w:type="dxa"/>
            <w:vAlign w:val="bottom"/>
          </w:tcPr>
          <w:p>
            <w:pPr>
              <w:spacing w:after="0"/>
              <w:rPr>
                <w:sz w:val="24"/>
                <w:szCs w:val="24"/>
                <w:color w:val="auto"/>
              </w:rPr>
            </w:pPr>
          </w:p>
        </w:tc>
        <w:tc>
          <w:tcPr>
            <w:tcW w:w="7400" w:type="dxa"/>
            <w:vAlign w:val="bottom"/>
          </w:tcPr>
          <w:p>
            <w:pPr>
              <w:ind w:left="1440"/>
              <w:spacing w:after="0"/>
              <w:rPr>
                <w:sz w:val="20"/>
                <w:szCs w:val="20"/>
                <w:color w:val="auto"/>
              </w:rPr>
            </w:pPr>
            <w:r>
              <w:rPr>
                <w:rFonts w:ascii="Arial" w:cs="Arial" w:eastAsia="Arial" w:hAnsi="Arial"/>
                <w:sz w:val="18"/>
                <w:szCs w:val="18"/>
                <w:color w:val="auto"/>
              </w:rPr>
              <w:t>-more-</w:t>
            </w:r>
          </w:p>
        </w:tc>
      </w:tr>
      <w:tr>
        <w:trPr>
          <w:trHeight w:val="632"/>
        </w:trPr>
        <w:tc>
          <w:tcPr>
            <w:tcW w:w="4020" w:type="dxa"/>
            <w:vAlign w:val="bottom"/>
            <w:tcBorders>
              <w:bottom w:val="single" w:sz="8" w:color="808080"/>
            </w:tcBorders>
          </w:tcPr>
          <w:p>
            <w:pPr>
              <w:spacing w:after="0"/>
              <w:rPr>
                <w:sz w:val="24"/>
                <w:szCs w:val="24"/>
                <w:color w:val="auto"/>
              </w:rPr>
            </w:pPr>
          </w:p>
        </w:tc>
        <w:tc>
          <w:tcPr>
            <w:tcW w:w="7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center"/>
        <w:ind w:right="680"/>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Condensed Consolidated Statement of Operations</w:t>
      </w:r>
    </w:p>
    <w:p>
      <w:pPr>
        <w:spacing w:after="0" w:line="392" w:lineRule="exact"/>
        <w:rPr>
          <w:sz w:val="20"/>
          <w:szCs w:val="20"/>
          <w:color w:val="auto"/>
        </w:rPr>
      </w:pPr>
    </w:p>
    <w:p>
      <w:pPr>
        <w:jc w:val="center"/>
        <w:ind w:right="4480"/>
        <w:spacing w:after="0"/>
        <w:rPr>
          <w:sz w:val="20"/>
          <w:szCs w:val="20"/>
          <w:color w:val="auto"/>
        </w:rPr>
      </w:pPr>
      <w:r>
        <w:rPr>
          <w:rFonts w:ascii="Arial" w:cs="Arial" w:eastAsia="Arial" w:hAnsi="Arial"/>
          <w:sz w:val="14"/>
          <w:szCs w:val="14"/>
          <w:b w:val="1"/>
          <w:bCs w:val="1"/>
          <w:color w:val="auto"/>
        </w:rPr>
        <w:t>(in thousands, except share and per</w:t>
      </w:r>
    </w:p>
    <w:p>
      <w:pPr>
        <w:jc w:val="center"/>
        <w:ind w:right="4480"/>
        <w:spacing w:after="0" w:line="226" w:lineRule="auto"/>
        <w:rPr>
          <w:sz w:val="20"/>
          <w:szCs w:val="20"/>
          <w:color w:val="auto"/>
        </w:rPr>
      </w:pPr>
      <w:r>
        <w:rPr>
          <w:rFonts w:ascii="Arial" w:cs="Arial" w:eastAsia="Arial" w:hAnsi="Arial"/>
          <w:sz w:val="14"/>
          <w:szCs w:val="14"/>
          <w:b w:val="1"/>
          <w:bCs w:val="1"/>
          <w:color w:val="auto"/>
        </w:rPr>
        <w:t>share amounts)</w:t>
      </w:r>
    </w:p>
    <w:tbl>
      <w:tblPr>
        <w:tblLayout w:type="fixed"/>
        <w:tblInd w:w="80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4"/>
          </w:tcPr>
          <w:p>
            <w:pPr>
              <w:jc w:val="center"/>
              <w:ind w:left="57"/>
              <w:spacing w:after="0" w:line="133" w:lineRule="exact"/>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4"/>
          </w:tcPr>
          <w:p>
            <w:pPr>
              <w:jc w:val="center"/>
              <w:ind w:left="77"/>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w w:val="99"/>
              </w:rPr>
              <w:t>Revenue from grants and Licensing agreements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ind w:right="377"/>
              <w:spacing w:after="0"/>
              <w:rPr>
                <w:sz w:val="20"/>
                <w:szCs w:val="20"/>
                <w:color w:val="auto"/>
              </w:rPr>
            </w:pPr>
            <w:r>
              <w:rPr>
                <w:rFonts w:ascii="Arial" w:cs="Arial" w:eastAsia="Arial" w:hAnsi="Arial"/>
                <w:sz w:val="18"/>
                <w:szCs w:val="18"/>
                <w:color w:val="auto"/>
              </w:rPr>
              <w:t>273</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gridSpan w:val="3"/>
            <w:shd w:val="clear" w:color="auto" w:fill="EEEEEE"/>
          </w:tcPr>
          <w:p>
            <w:pPr>
              <w:jc w:val="right"/>
              <w:ind w:right="26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415</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377"/>
              <w:spacing w:after="0"/>
              <w:rPr>
                <w:sz w:val="20"/>
                <w:szCs w:val="20"/>
                <w:color w:val="auto"/>
              </w:rPr>
            </w:pPr>
            <w:r>
              <w:rPr>
                <w:rFonts w:ascii="Arial" w:cs="Arial" w:eastAsia="Arial" w:hAnsi="Arial"/>
                <w:sz w:val="18"/>
                <w:szCs w:val="18"/>
                <w:color w:val="auto"/>
              </w:rPr>
              <w:t>6,144</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7,382</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General &amp; administrative</w:t>
            </w:r>
          </w:p>
        </w:tc>
        <w:tc>
          <w:tcPr>
            <w:tcW w:w="400" w:type="dxa"/>
            <w:vAlign w:val="bottom"/>
          </w:tcPr>
          <w:p>
            <w:pPr>
              <w:spacing w:after="0"/>
              <w:rPr>
                <w:sz w:val="18"/>
                <w:szCs w:val="18"/>
                <w:color w:val="auto"/>
              </w:rPr>
            </w:pPr>
          </w:p>
        </w:tc>
        <w:tc>
          <w:tcPr>
            <w:tcW w:w="1260" w:type="dxa"/>
            <w:vAlign w:val="bottom"/>
            <w:gridSpan w:val="3"/>
          </w:tcPr>
          <w:p>
            <w:pPr>
              <w:jc w:val="right"/>
              <w:ind w:right="377"/>
              <w:spacing w:after="0"/>
              <w:rPr>
                <w:sz w:val="20"/>
                <w:szCs w:val="20"/>
                <w:color w:val="auto"/>
              </w:rPr>
            </w:pPr>
            <w:r>
              <w:rPr>
                <w:rFonts w:ascii="Arial" w:cs="Arial" w:eastAsia="Arial" w:hAnsi="Arial"/>
                <w:sz w:val="18"/>
                <w:szCs w:val="18"/>
                <w:color w:val="auto"/>
              </w:rPr>
              <w:t>3,390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3,358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Wind-down related to former corporate</w:t>
            </w:r>
          </w:p>
        </w:tc>
        <w:tc>
          <w:tcPr>
            <w:tcW w:w="4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2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headquarters</w:t>
            </w:r>
          </w:p>
        </w:tc>
        <w:tc>
          <w:tcPr>
            <w:tcW w:w="400" w:type="dxa"/>
            <w:vAlign w:val="bottom"/>
            <w:shd w:val="clear" w:color="auto" w:fill="EEEEEE"/>
          </w:tcPr>
          <w:p>
            <w:pPr>
              <w:spacing w:after="0"/>
              <w:rPr>
                <w:sz w:val="20"/>
                <w:szCs w:val="20"/>
                <w:color w:val="auto"/>
              </w:rPr>
            </w:pPr>
          </w:p>
        </w:tc>
        <w:tc>
          <w:tcPr>
            <w:tcW w:w="1260" w:type="dxa"/>
            <w:vAlign w:val="bottom"/>
            <w:tcBorders>
              <w:right w:val="single" w:sz="8" w:color="EEEEEE"/>
            </w:tcBorders>
            <w:gridSpan w:val="3"/>
            <w:shd w:val="clear" w:color="auto" w:fill="EEEEEE"/>
          </w:tcPr>
          <w:p>
            <w:pPr>
              <w:jc w:val="right"/>
              <w:ind w:right="377"/>
              <w:spacing w:after="0"/>
              <w:rPr>
                <w:sz w:val="20"/>
                <w:szCs w:val="20"/>
                <w:color w:val="auto"/>
              </w:rPr>
            </w:pPr>
            <w:r>
              <w:rPr>
                <w:rFonts w:ascii="Arial" w:cs="Arial" w:eastAsia="Arial" w:hAnsi="Arial"/>
                <w:sz w:val="18"/>
                <w:szCs w:val="18"/>
                <w:color w:val="auto"/>
              </w:rPr>
              <w:t>2,885</w:t>
            </w:r>
          </w:p>
        </w:tc>
        <w:tc>
          <w:tcPr>
            <w:tcW w:w="240" w:type="dxa"/>
            <w:vAlign w:val="bottom"/>
            <w:tcBorders>
              <w:left w:val="single" w:sz="8" w:color="EEEEEE"/>
            </w:tcBorders>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40" w:type="dxa"/>
            <w:vAlign w:val="bottom"/>
            <w:tcBorders>
              <w:right w:val="single" w:sz="8" w:color="EEEEEE"/>
            </w:tcBorders>
            <w:shd w:val="clear" w:color="auto" w:fill="EEEEEE"/>
          </w:tcPr>
          <w:p>
            <w:pPr>
              <w:spacing w:after="0"/>
              <w:rPr>
                <w:sz w:val="20"/>
                <w:szCs w:val="20"/>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1,164</w:t>
            </w:r>
          </w:p>
        </w:tc>
        <w:tc>
          <w:tcPr>
            <w:tcW w:w="4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300" w:type="dxa"/>
            <w:vAlign w:val="bottom"/>
            <w:tcBorders>
              <w:right w:val="single" w:sz="8" w:color="808080"/>
            </w:tcBorders>
            <w:shd w:val="clear" w:color="auto" w:fill="80808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808080"/>
            </w:tcBorders>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1260" w:type="dxa"/>
            <w:vAlign w:val="bottom"/>
            <w:gridSpan w:val="3"/>
          </w:tcPr>
          <w:p>
            <w:pPr>
              <w:jc w:val="right"/>
              <w:ind w:right="377"/>
              <w:spacing w:after="0"/>
              <w:rPr>
                <w:sz w:val="20"/>
                <w:szCs w:val="20"/>
                <w:color w:val="auto"/>
              </w:rPr>
            </w:pPr>
            <w:r>
              <w:rPr>
                <w:rFonts w:ascii="Arial" w:cs="Arial" w:eastAsia="Arial" w:hAnsi="Arial"/>
                <w:sz w:val="18"/>
                <w:szCs w:val="18"/>
                <w:color w:val="auto"/>
              </w:rPr>
              <w:t>12,419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11,904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317"/>
              <w:spacing w:after="0"/>
              <w:rPr>
                <w:sz w:val="20"/>
                <w:szCs w:val="20"/>
                <w:color w:val="auto"/>
              </w:rPr>
            </w:pPr>
            <w:r>
              <w:rPr>
                <w:rFonts w:ascii="Arial" w:cs="Arial" w:eastAsia="Arial" w:hAnsi="Arial"/>
                <w:sz w:val="18"/>
                <w:szCs w:val="18"/>
                <w:color w:val="auto"/>
              </w:rPr>
              <w:t>(12,146)</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5"/>
            <w:shd w:val="clear" w:color="auto" w:fill="EEEEEE"/>
          </w:tcPr>
          <w:p>
            <w:pPr>
              <w:jc w:val="right"/>
              <w:ind w:right="380"/>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1260" w:type="dxa"/>
            <w:vAlign w:val="bottom"/>
            <w:gridSpan w:val="3"/>
          </w:tcPr>
          <w:p>
            <w:pPr>
              <w:jc w:val="right"/>
              <w:ind w:right="317"/>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Borders>
              <w:top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46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317"/>
              <w:spacing w:after="0"/>
              <w:rPr>
                <w:sz w:val="20"/>
                <w:szCs w:val="20"/>
                <w:color w:val="auto"/>
              </w:rPr>
            </w:pPr>
            <w:r>
              <w:rPr>
                <w:rFonts w:ascii="Arial" w:cs="Arial" w:eastAsia="Arial" w:hAnsi="Arial"/>
                <w:sz w:val="18"/>
                <w:szCs w:val="18"/>
                <w:color w:val="auto"/>
              </w:rPr>
              <w:t>(12,291)</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5"/>
            <w:shd w:val="clear" w:color="auto" w:fill="EEEEEE"/>
          </w:tcPr>
          <w:p>
            <w:pPr>
              <w:jc w:val="right"/>
              <w:ind w:right="38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Dividend to preferred shareholders</w:t>
            </w:r>
          </w:p>
        </w:tc>
        <w:tc>
          <w:tcPr>
            <w:tcW w:w="400" w:type="dxa"/>
            <w:vAlign w:val="bottom"/>
          </w:tcPr>
          <w:p>
            <w:pPr>
              <w:spacing w:after="0"/>
              <w:rPr>
                <w:sz w:val="18"/>
                <w:szCs w:val="18"/>
                <w:color w:val="auto"/>
              </w:rPr>
            </w:pPr>
          </w:p>
        </w:tc>
        <w:tc>
          <w:tcPr>
            <w:tcW w:w="1260" w:type="dxa"/>
            <w:vAlign w:val="bottom"/>
            <w:gridSpan w:val="3"/>
          </w:tcPr>
          <w:p>
            <w:pPr>
              <w:jc w:val="right"/>
              <w:ind w:right="377"/>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Deemed dividend</w:t>
            </w:r>
          </w:p>
        </w:tc>
        <w:tc>
          <w:tcPr>
            <w:tcW w:w="40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377"/>
              <w:spacing w:after="0"/>
              <w:rPr>
                <w:sz w:val="20"/>
                <w:szCs w:val="20"/>
                <w:color w:val="auto"/>
              </w:rPr>
            </w:pPr>
            <w:r>
              <w:rPr>
                <w:rFonts w:ascii="Arial" w:cs="Arial" w:eastAsia="Arial" w:hAnsi="Arial"/>
                <w:sz w:val="18"/>
                <w:szCs w:val="18"/>
                <w:color w:val="auto"/>
              </w:rPr>
              <w:t>2,066</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1,280</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300" w:type="dxa"/>
            <w:vAlign w:val="bottom"/>
            <w:tcBorders>
              <w:right w:val="single" w:sz="8" w:color="808080"/>
            </w:tcBorders>
            <w:shd w:val="clear" w:color="auto" w:fill="80808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808080"/>
            </w:tcBorders>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Net loss applicable to common shareholders</w:t>
            </w:r>
          </w:p>
        </w:tc>
        <w:tc>
          <w:tcPr>
            <w:tcW w:w="400" w:type="dxa"/>
            <w:vAlign w:val="bottom"/>
          </w:tcPr>
          <w:p>
            <w:pPr>
              <w:spacing w:after="0"/>
              <w:rPr>
                <w:sz w:val="20"/>
                <w:szCs w:val="20"/>
                <w:color w:val="auto"/>
              </w:rPr>
            </w:pPr>
          </w:p>
        </w:tc>
        <w:tc>
          <w:tcPr>
            <w:tcW w:w="1260" w:type="dxa"/>
            <w:vAlign w:val="bottom"/>
            <w:gridSpan w:val="3"/>
          </w:tcPr>
          <w:p>
            <w:pPr>
              <w:jc w:val="right"/>
              <w:ind w:right="317"/>
              <w:spacing w:after="0"/>
              <w:rPr>
                <w:sz w:val="20"/>
                <w:szCs w:val="20"/>
                <w:color w:val="auto"/>
              </w:rPr>
            </w:pPr>
            <w:r>
              <w:rPr>
                <w:rFonts w:ascii="Arial" w:cs="Arial" w:eastAsia="Arial" w:hAnsi="Arial"/>
                <w:sz w:val="18"/>
                <w:szCs w:val="18"/>
                <w:color w:val="auto"/>
              </w:rPr>
              <w:t>($14,425)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18"/>
                <w:szCs w:val="18"/>
                <w:color w:val="auto"/>
              </w:rPr>
              <w:t>($13,276)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per share applicable to common</w:t>
            </w:r>
          </w:p>
        </w:tc>
        <w:tc>
          <w:tcPr>
            <w:tcW w:w="4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2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shareholders; basic and diluted</w:t>
            </w:r>
          </w:p>
        </w:tc>
        <w:tc>
          <w:tcPr>
            <w:tcW w:w="400" w:type="dxa"/>
            <w:vAlign w:val="bottom"/>
            <w:shd w:val="clear" w:color="auto" w:fill="EEEEEE"/>
          </w:tcPr>
          <w:p>
            <w:pPr>
              <w:spacing w:after="0"/>
              <w:rPr>
                <w:sz w:val="20"/>
                <w:szCs w:val="20"/>
                <w:color w:val="auto"/>
              </w:rPr>
            </w:pPr>
          </w:p>
        </w:tc>
        <w:tc>
          <w:tcPr>
            <w:tcW w:w="1260" w:type="dxa"/>
            <w:vAlign w:val="bottom"/>
            <w:tcBorders>
              <w:right w:val="single" w:sz="8" w:color="EEEEEE"/>
            </w:tcBorders>
            <w:gridSpan w:val="3"/>
            <w:shd w:val="clear" w:color="auto" w:fill="EEEEEE"/>
          </w:tcPr>
          <w:p>
            <w:pPr>
              <w:jc w:val="right"/>
              <w:ind w:right="317"/>
              <w:spacing w:after="0"/>
              <w:rPr>
                <w:sz w:val="20"/>
                <w:szCs w:val="20"/>
                <w:color w:val="auto"/>
              </w:rPr>
            </w:pPr>
            <w:r>
              <w:rPr>
                <w:rFonts w:ascii="Arial" w:cs="Arial" w:eastAsia="Arial" w:hAnsi="Arial"/>
                <w:sz w:val="18"/>
                <w:szCs w:val="18"/>
                <w:color w:val="auto"/>
              </w:rPr>
              <w:t>($0.45)</w:t>
            </w:r>
          </w:p>
        </w:tc>
        <w:tc>
          <w:tcPr>
            <w:tcW w:w="240" w:type="dxa"/>
            <w:vAlign w:val="bottom"/>
            <w:tcBorders>
              <w:left w:val="single" w:sz="8" w:color="EEEEEE"/>
            </w:tcBorders>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40" w:type="dxa"/>
            <w:vAlign w:val="bottom"/>
            <w:tcBorders>
              <w:right w:val="single" w:sz="8" w:color="EEEEEE"/>
            </w:tcBorders>
            <w:shd w:val="clear" w:color="auto" w:fill="EEEEEE"/>
          </w:tcPr>
          <w:p>
            <w:pPr>
              <w:spacing w:after="0"/>
              <w:rPr>
                <w:sz w:val="20"/>
                <w:szCs w:val="20"/>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7"/>
              </w:rPr>
              <w:t>($0.53)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Weighted average shares – basic and diluted</w:t>
            </w:r>
          </w:p>
        </w:tc>
        <w:tc>
          <w:tcPr>
            <w:tcW w:w="400" w:type="dxa"/>
            <w:vAlign w:val="bottom"/>
          </w:tcPr>
          <w:p>
            <w:pPr>
              <w:spacing w:after="0"/>
              <w:rPr>
                <w:sz w:val="20"/>
                <w:szCs w:val="20"/>
                <w:color w:val="auto"/>
              </w:rPr>
            </w:pPr>
          </w:p>
        </w:tc>
        <w:tc>
          <w:tcPr>
            <w:tcW w:w="1260" w:type="dxa"/>
            <w:vAlign w:val="bottom"/>
            <w:gridSpan w:val="3"/>
          </w:tcPr>
          <w:p>
            <w:pPr>
              <w:jc w:val="right"/>
              <w:ind w:right="377"/>
              <w:spacing w:after="0"/>
              <w:rPr>
                <w:sz w:val="20"/>
                <w:szCs w:val="20"/>
                <w:color w:val="auto"/>
              </w:rPr>
            </w:pPr>
            <w:r>
              <w:rPr>
                <w:rFonts w:ascii="Arial" w:cs="Arial" w:eastAsia="Arial" w:hAnsi="Arial"/>
                <w:sz w:val="18"/>
                <w:szCs w:val="18"/>
                <w:color w:val="auto"/>
                <w:w w:val="86"/>
              </w:rPr>
              <w:t>32,080,233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7"/>
              </w:rPr>
              <w:t>25,096,252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StemCells Inc.</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8"/>
          </w:tcPr>
          <w:p>
            <w:pPr>
              <w:ind w:left="2140"/>
              <w:spacing w:after="0"/>
              <w:rPr>
                <w:sz w:val="20"/>
                <w:szCs w:val="20"/>
                <w:color w:val="auto"/>
              </w:rPr>
            </w:pPr>
            <w:r>
              <w:rPr>
                <w:rFonts w:ascii="Arial" w:cs="Arial" w:eastAsia="Arial" w:hAnsi="Arial"/>
                <w:sz w:val="18"/>
                <w:szCs w:val="18"/>
                <w:b w:val="1"/>
                <w:bCs w:val="1"/>
                <w:color w:val="auto"/>
              </w:rPr>
              <w:t>Condensed Consolidated Balance Sheets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6"/>
              </w:rPr>
              <w:t>2002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66"/>
        </w:trPr>
        <w:tc>
          <w:tcPr>
            <w:tcW w:w="388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&amp; cash equivalents</w:t>
            </w:r>
          </w:p>
        </w:tc>
        <w:tc>
          <w:tcPr>
            <w:tcW w:w="40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$13,082</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right w:val="single" w:sz="8" w:color="808080"/>
            </w:tcBorders>
          </w:tcPr>
          <w:p>
            <w:pPr>
              <w:spacing w:after="0"/>
              <w:rPr>
                <w:sz w:val="2"/>
                <w:szCs w:val="2"/>
                <w:color w:val="auto"/>
              </w:rPr>
            </w:pPr>
          </w:p>
        </w:tc>
        <w:tc>
          <w:tcPr>
            <w:tcW w:w="460" w:type="dxa"/>
            <w:vAlign w:val="bottom"/>
            <w:tcBorders>
              <w:right w:val="single" w:sz="8" w:color="808080"/>
            </w:tcBorders>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808080"/>
            </w:tcBorders>
          </w:tcPr>
          <w:p>
            <w:pPr>
              <w:spacing w:after="0"/>
              <w:rPr>
                <w:sz w:val="2"/>
                <w:szCs w:val="2"/>
                <w:color w:val="auto"/>
              </w:rPr>
            </w:pPr>
          </w:p>
        </w:tc>
        <w:tc>
          <w:tcPr>
            <w:tcW w:w="460" w:type="dxa"/>
            <w:vAlign w:val="bottom"/>
            <w:shd w:val="clear" w:color="auto" w:fill="808080"/>
          </w:tcPr>
          <w:p>
            <w:pPr>
              <w:spacing w:after="0"/>
              <w:rPr>
                <w:sz w:val="2"/>
                <w:szCs w:val="2"/>
                <w:color w:val="auto"/>
              </w:rPr>
            </w:pPr>
          </w:p>
        </w:tc>
        <w:tc>
          <w:tcPr>
            <w:tcW w:w="440" w:type="dxa"/>
            <w:vAlign w:val="bottom"/>
            <w:tcBorders>
              <w:left w:val="single" w:sz="8" w:color="80808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13,407</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4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3,611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Other assets, net</w:t>
            </w:r>
          </w:p>
        </w:tc>
        <w:tc>
          <w:tcPr>
            <w:tcW w:w="40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2,768</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19,786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11,329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Liabilities and stockholders equity</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$ 2,522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Non-current liabilities</w:t>
            </w:r>
          </w:p>
        </w:tc>
        <w:tc>
          <w:tcPr>
            <w:tcW w:w="40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6,300</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10,964</w:t>
            </w:r>
          </w:p>
        </w:tc>
        <w:tc>
          <w:tcPr>
            <w:tcW w:w="2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
        </w:trPr>
        <w:tc>
          <w:tcPr>
            <w:tcW w:w="50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80" w:type="dxa"/>
            <w:vAlign w:val="bottom"/>
            <w:gridSpan w:val="5"/>
          </w:tcPr>
          <w:p>
            <w:pPr>
              <w:spacing w:after="0" w:line="202" w:lineRule="exact"/>
              <w:rPr>
                <w:sz w:val="20"/>
                <w:szCs w:val="20"/>
                <w:color w:val="auto"/>
              </w:rPr>
            </w:pPr>
            <w:r>
              <w:rPr>
                <w:rFonts w:ascii="Arial" w:cs="Arial" w:eastAsia="Arial" w:hAnsi="Arial"/>
                <w:sz w:val="18"/>
                <w:szCs w:val="18"/>
                <w:color w:val="auto"/>
              </w:rPr>
              <w:t>Total liabilities, redeemable preferred stock and stockholders’</w:t>
            </w:r>
          </w:p>
        </w:tc>
        <w:tc>
          <w:tcPr>
            <w:tcW w:w="460" w:type="dxa"/>
            <w:vAlign w:val="bottom"/>
            <w:tcBorders>
              <w:top w:val="single" w:sz="8" w:color="808080"/>
            </w:tcBorders>
          </w:tcPr>
          <w:p>
            <w:pPr>
              <w:spacing w:after="0"/>
              <w:rPr>
                <w:sz w:val="17"/>
                <w:szCs w:val="17"/>
                <w:color w:val="auto"/>
              </w:rPr>
            </w:pPr>
          </w:p>
        </w:tc>
        <w:tc>
          <w:tcPr>
            <w:tcW w:w="5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808080"/>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equity</w:t>
            </w:r>
          </w:p>
        </w:tc>
        <w:tc>
          <w:tcPr>
            <w:tcW w:w="4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$19,786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5"/>
          </w:tcPr>
          <w:p>
            <w:pPr>
              <w:jc w:val="right"/>
              <w:ind w:right="420"/>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right w:val="single" w:sz="8" w:color="808080"/>
            </w:tcBorders>
          </w:tcPr>
          <w:p>
            <w:pPr>
              <w:spacing w:after="0" w:line="20" w:lineRule="exact"/>
              <w:rPr>
                <w:sz w:val="1"/>
                <w:szCs w:val="1"/>
                <w:color w:val="auto"/>
              </w:rPr>
            </w:pPr>
          </w:p>
        </w:tc>
        <w:tc>
          <w:tcPr>
            <w:tcW w:w="460" w:type="dxa"/>
            <w:vAlign w:val="bottom"/>
            <w:tcBorders>
              <w:right w:val="single" w:sz="8" w:color="808080"/>
            </w:tcBorders>
            <w:shd w:val="clear" w:color="auto" w:fill="808080"/>
          </w:tcPr>
          <w:p>
            <w:pPr>
              <w:spacing w:after="0" w:line="20" w:lineRule="exact"/>
              <w:rPr>
                <w:sz w:val="1"/>
                <w:szCs w:val="1"/>
                <w:color w:val="auto"/>
              </w:rPr>
            </w:pPr>
          </w:p>
        </w:tc>
        <w:tc>
          <w:tcPr>
            <w:tcW w:w="240" w:type="dxa"/>
            <w:vAlign w:val="bottom"/>
            <w:tcBorders>
              <w:left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440" w:type="dxa"/>
            <w:vAlign w:val="bottom"/>
            <w:tcBorders>
              <w:lef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 Derived from audited financial statements included in StemCells’ annual report on form 10-K/A filed with the SEC.</w:t>
      </w:r>
    </w:p>
    <w:sectPr>
      <w:pgSz w:w="11900" w:h="16838" w:orient="portrait"/>
      <w:cols w:equalWidth="0" w:num="1">
        <w:col w:w="9700"/>
      </w:cols>
      <w:pgMar w:left="1440" w:top="93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2019-12-13T20:59:49Z</dcterms:created>
  <dcterms:modified xsi:type="dcterms:W3CDTF">2019-12-13T20:59:49Z</dcterms:modified>
</cp:coreProperties>
</file>