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333-290848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156845</wp:posOffset>
            </wp:positionV>
            <wp:extent cx="2314575" cy="1157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14,688,572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14,688,572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10.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November 14, 2025, the last reported closing price of our common stock on the Nasdaq Capital Market was $2.07.</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6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6,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Food and Drug Administration 510(k) Clearance</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On September 8, 2025, we announced that the U.S. Food and Drug Administration (“FDA”) has granted 510(k) clearance for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the first FDA cleared single-use, remotely operated robotic system for peripheral endovascular procedures. The FDA clearance positions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us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with the goal of transforming the field to enable accessibility to advanced robotics without the traditional constraints of capital equipment and a dedicated infrastructure. With FDA clearance, we expect to complete the final commercial activities that were contingent on marketing clearance, positioning us to commence commercialization, penetrate the approximately 2.5 million annual U.S. peripheral vascular procedures, and pursue entry into global markets.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partnered with a U.S. based third-party logistics (3PL) company to support the commercialization of the LIBERTY® Endovascular Robotic System. On November 5, 2025, we announced that we initiated the limited market release of the LIBERTY® System to selected high procedure volume regions where we already experienced preliminary demand for the product, with the broader launch anticipated to occur in April 2026 during the Society of Interventional Radiology conference.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First Japanese Patent</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October 1, 2025, we announced that the Japanese Patent Office has granted the Company its first patent in Japan, covering the core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 such as a compact robotic device for driving and manipulating movement of at least one elongate surgical tool.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Patent for a Modular Robotic Surgical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20, 2025, we announced that the United States Patent and Trademark Office has granted us a patent, covering a modular robotic surgical system which includes a base and a plurality of tool-receiver unites arranged as separate unites and independently and interchangeably attachable to the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Patent in China for the Robotic Manipulation of a Surgical Tool Handle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2025, we announced that the China National Intellectual Property Administration has granted us a critical patent in China, a key step in our global intellectual property expansion strategy. The patent covers the robotic manipulation of a surgical tool handle.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collapse of the Assad regime in Syria and Israel’s subsequent military operations in Syria, and the escalation of military operations by and against the Houthis in Yemen and the Iranian regime, are on-going as of the date of this prospectus, although there have been temporary cease fires and lulls in military operations from time to time, including the most recent cease-fire with Hamas on October 10,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our ability to do business in certain jurisdictions or with certain industry groups or potential customers, among others.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our devices and to ship them outside of Israel. In addition, we are also monitoring how negative international reaction to the events in Gaza, the West Bank and elsewhere in the Middle East could create a corresponding negative perception of companies based in Israel, which if broad enough, could negatively impact our business. As of the date of this prospectus, we have determined that there have not been any materially adverse effects on our business or operations, but we continue to monitor the situation, as any collapse of a cease-fire with any nation or group hostile to Israel from time to time or any future escalation or change could result in a material adverse effect on the ability of our Israeli office to support our clinical and regulatory activities. We do not have any specific contingency plans in the event of any such escalation or 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single-use design with the capability to be operated remotely, reduce radiation exposure and physical strain to the physician, as well as the potential to reduce the use of consumables.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been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our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(“over-the-wire”)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A remote control designed to be intuitive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510(k) clearance with the FDA.</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ultimately allowing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3" w:lineRule="exact"/>
        <w:rPr>
          <w:sz w:val="20"/>
          <w:szCs w:val="20"/>
          <w:color w:val="auto"/>
        </w:rPr>
      </w:pPr>
    </w:p>
    <w:p>
      <w:pPr>
        <w:ind w:right="1060"/>
        <w:spacing w:after="0" w:line="338" w:lineRule="auto"/>
        <w:rPr>
          <w:sz w:val="20"/>
          <w:szCs w:val="20"/>
          <w:color w:val="auto"/>
        </w:rPr>
      </w:pPr>
      <w:r>
        <w:rPr>
          <w:rFonts w:ascii="Times New Roman" w:cs="Times New Roman" w:eastAsia="Times New Roman" w:hAnsi="Times New Roman"/>
          <w:sz w:val="18"/>
          <w:szCs w:val="18"/>
          <w:color w:val="auto"/>
        </w:rPr>
        <w:t>On September 8, 2025, we announced that the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t>
      </w: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Ilit, Israel 2069815.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6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14,688,572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13,989,115 shares of our common stock issuable to certain of the selling stockholders upon the exercise of outstanding Series J preferred investment options at an exercise price per share of $4.50;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10,362 shares of our common stock issuable to certain of the selling stockholders upon the exercise of outstanding 2½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our common stock issuable to certain of the selling stockholders upon the exercise of outstanding 2½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235,131 shares of our common stock issuable to certain of the selling stockholders upon the exercise of outstanding 2½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422,535 shares of our common stock issuable to certain of the selling stockholders upon the exercise of outstanding 2½ year preferred investment options, at an exercise price per share of $2.6625.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14,688,572 shares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67,158,044 shares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81,846,616 shares</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November 14,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14,688,572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14,688,572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$64.8 million in gross proceeds if all of the 14,688,572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any future applications or products; uncertainty as to whether the regulatory authorities other than the FDA will clear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products for commercialization and sale or if the FDA will clear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for other uses;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w:t>
      </w:r>
    </w:p>
    <w:p>
      <w:pPr>
        <w:jc w:val="both"/>
        <w:spacing w:after="0" w:line="231" w:lineRule="auto"/>
        <w:rPr>
          <w:sz w:val="20"/>
          <w:szCs w:val="20"/>
          <w:color w:val="auto"/>
        </w:rPr>
      </w:pPr>
      <w:r>
        <w:rPr>
          <w:rFonts w:ascii="Times New Roman" w:cs="Times New Roman" w:eastAsia="Times New Roman" w:hAnsi="Times New Roman"/>
          <w:sz w:val="18"/>
          <w:szCs w:val="18"/>
          <w:color w:val="auto"/>
        </w:rPr>
        <w:t>uncertainty regarding the validity and enforceability of the patents underlying our proposed products; the uncertainty whether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and neighboring countries, such as employees of Microbot and its vendors and business partners being called to active military duty; and other risks to which we are subject.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and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14,688,572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$64.8 million in gross proceeds if all of the 14,688,572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67,158,044 shares of our common stock outstanding as of November 14,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52"/>
        </w:trPr>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r>
      <w:tr>
        <w:trPr>
          <w:trHeight w:val="201"/>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Before Any</w:t>
            </w:r>
          </w:p>
        </w:tc>
        <w:tc>
          <w:tcPr>
            <w:tcW w:w="78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tcBorders>
              <w:top w:val="single" w:sz="8" w:color="auto"/>
            </w:tcBorders>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6,002,185</w:t>
            </w:r>
          </w:p>
        </w:tc>
        <w:tc>
          <w:tcPr>
            <w:tcW w:w="7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8.20%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6,002,185</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9"/>
                <w:szCs w:val="29"/>
                <w:color w:val="auto"/>
                <w:vertAlign w:val="superscript"/>
              </w:rPr>
              <w:t>(2)(3)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7,143,700</w:t>
            </w:r>
          </w:p>
        </w:tc>
        <w:tc>
          <w:tcPr>
            <w:tcW w:w="7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9.81%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5,680,358</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1,463,342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4,589,012</w:t>
            </w:r>
          </w:p>
        </w:tc>
        <w:tc>
          <w:tcPr>
            <w:tcW w:w="7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6.60%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2,306,572</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2,282,440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Rubinstein</w:t>
            </w:r>
            <w:r>
              <w:rPr>
                <w:rFonts w:ascii="Times New Roman" w:cs="Times New Roman" w:eastAsia="Times New Roman" w:hAnsi="Times New Roman"/>
                <w:sz w:val="29"/>
                <w:szCs w:val="29"/>
                <w:color w:val="auto"/>
                <w:vertAlign w:val="superscript"/>
              </w:rPr>
              <w:t>(5)(6)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849,883</w:t>
            </w:r>
          </w:p>
        </w:tc>
        <w:tc>
          <w:tcPr>
            <w:tcW w:w="7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1.24%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220,329</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629,554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(5)(7)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1,503,896</w:t>
            </w:r>
          </w:p>
        </w:tc>
        <w:tc>
          <w:tcPr>
            <w:tcW w:w="7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2.19%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386,823</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1,117,073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Augustus Trading LLC (8)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61,704</w:t>
            </w:r>
          </w:p>
        </w:tc>
        <w:tc>
          <w:tcPr>
            <w:tcW w:w="7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61,704</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Wilson Drive Holdings LLC </w:t>
            </w:r>
            <w:r>
              <w:rPr>
                <w:rFonts w:ascii="Times New Roman" w:cs="Times New Roman" w:eastAsia="Times New Roman" w:hAnsi="Times New Roman"/>
                <w:sz w:val="29"/>
                <w:szCs w:val="29"/>
                <w:color w:val="auto"/>
                <w:vertAlign w:val="superscript"/>
              </w:rPr>
              <w:t>(9)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81,665</w:t>
            </w:r>
          </w:p>
        </w:tc>
        <w:tc>
          <w:tcPr>
            <w:tcW w:w="7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23,607</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58,058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26,981</w:t>
            </w:r>
          </w:p>
        </w:tc>
        <w:tc>
          <w:tcPr>
            <w:tcW w:w="780" w:type="dxa"/>
            <w:vAlign w:val="bottom"/>
          </w:tcPr>
          <w:p>
            <w:pPr>
              <w:spacing w:after="0"/>
              <w:rPr>
                <w:sz w:val="22"/>
                <w:szCs w:val="22"/>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6,995</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19,986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(10)</w:t>
            </w: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14,688,572</w:t>
            </w: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5,680,358 shares of our common stock underlying our Series J preferred investment options and (b) 1,463,342 shares of our common stock, in each case as of October 6, 2025. Heights Capital Management, Inc. (“Heights”), the authorized agent of CVI Investments, Inc. (“CVI”), has discretionary authority to vote and dispose of the shares held by CVI and may be deemed to be the beneficial owner of these shares. Martin Kobinger, in his capacity as Investment Manager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2,282,440 shares of our common stock, and an aggregate of 2,306,572 shares of our common stock underlying warrants or preferred investment options beneficially owned by the selling stockholder. Noam Rubinstein is the managing member of Stuywater Capital LLC and has the power to vote and dispose the securities held. As a result, he may be deemed to have beneficial ownership (as determined under Section 13(d) of the Securities Exchange Act of 1934, as amended) of the securities reported herein that are held by Stuywater. Mr. Rubinstein is affiliated with H.C. Wainwright &amp; Co., LLC, a registered broker-dealer with a registered address of H.C. Wainwright &amp; Co., LLC, 430 Park Ave, 3rd Floor, New York, NY 10022.The warrants or preferred investment options are subject to a beneficial ownership limitation of 4.99%, which restricts the selling stockholder from exercising that portion of the warrants or preferred investment options that would result in the selling stockholder and its affiliates owning, after exercise, a number of shares of common stock in excess of the beneficial ownership limitation.</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is affiliated with H.C. Wainwright &amp; Co., LLC (“Wainwright”), a registered broker dealer with a registered address of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during the fiscal year ending December 31, 2025.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right="2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2,282,440 shares of our common stock, and an aggregate of 2,306,572 shares of our common stock underlying warrants or preferred investment options, beneficially owned by Mr. Rubinstein through Stuywater Capital LLC, which are subject to a beneficial ownership limitation of 4.99%.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218" w:gutter="0" w:footer="0" w:header="0"/>
        </w:sectPr>
      </w:pPr>
    </w:p>
    <w:bookmarkStart w:id="11" w:name="page12"/>
    <w:bookmarkEnd w:id="11"/>
    <w:p>
      <w:pPr>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209,648 shares of our common stock, and an aggregate of 1,294,248 shares of our common stock underlying warrants or preferred investment options beneficially owned by the selling stockholder.</w:t>
      </w: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61,704 shares of our common stock underlying placement agent preferred investment options which have been issued as compensation and that are held by Augustus Trading LLC.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3,247 shares of our common stock underlying placement agent preferred investment options, which have been issued as compensation, and that are held by Wilson Drive Holdings LLC and 78,418 shares of our common stock underlying placement agent preferred investment options, which have been issued as compensation, and that are held by Mr. Craig Schwabe. Mr. Schwabe is the managing member Wilson Drive Holdings LLC and has the power to vote and dispose the securities held and may be deemed to be the beneficial owner (as determined under Section 13(d) of the Securities Exchange Act of 1934, as amended) of these securities. Mr. Schwabe is affiliated with H.C. Wainwright &amp; Co., LLC, a registered broker-dealer, with a registered address of 430 Park Ave, 3rd Floor, New York, NY 10022. The securities were acquired in the ordinary course of business and, at the time the securities were acquired, the selling stockholder had no agreement or understanding, directly or indirectly, with any person to distribute such securities.</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or 9.99% beneficial ownership limitation that the selling stockholders may be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If the selling stockholders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Delaware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120,000,000 shares of common stock, par value $0.01, of which 67,158,044 shares were issued and outstanding as of November 14,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120,000,000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14,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3,014,365 shares of our common stock issuable upon the exercise of outstanding stock options granted to employees, directors and consultants, with exercise prices ranging from approximately $0.005 to $15.75 and having a weighted-average exercise price of $4.2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2,678,798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14,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placement agent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placement agent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placement agent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28,102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71,750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109,478 shares of our common stock issuable upon the exercise of outstanding placement agent preferred investment options expiring in June 2027,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outstanding placement agent preferred investment options expiring in July 2030,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10,362 shares of our common stock issuable upon the exercise of outstanding placement agent preferred investment options expiring in March 2028,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our common stock issuable upon the exercise of outstanding placement agent preferred investment options expiring in March 2028, at an exercise price per share of $2.1875;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138,906 shares of our common stock issuable upon the exercise of outstanding placement agent preferred investment options expiring in March 2028, at an exercise price per share of $2.625;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422,535 shares of our common stock issuable upon the exercise of outstanding placement agent preferred investment options expiring in March 2028,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13,989,115 shares of our common stock issuable upon the exercise of outstanding series J preferred investment options expiring between March 2028 and April 2028, at an exercise price per share of $4.50;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96,224 shares of our common stock issuable upon the exercise of outstanding placement agent preferred investment options expiring in April 2028,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53,758 shares of our common stock issuable to the selling stockholders upon the exercise of outstanding 5½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146,306 shares of our common stock issuable to the selling stockholders upon the exercise of outstanding 2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368,572 shares of our common stock issuable to the selling stockholders upon the exercise of outstanding 2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143,723 shares of our common stock issuable to the selling stockholders upon the exercise of outstanding 2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187,794 shares of our common stock issuable to the selling stockholders upon the exercise of outstanding 2 year preferred investment options, at an exercise price per share of $2.6625.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13,989,115 Series J preferred investment options at a price per share of $4.50; 10,362 placement agent preferred investment options at an exercise price per share of $1.875; 31,429 placement agent preferred investment options at an exercise price per share of $2.1875; 235,131 placement agent preferred investment options at an exercise price per share of $2.625; and 422,535 placement agent preferred investment options at an exercise price per share of $2.6625.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to,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Nine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will be passed upon for us by Ruskin Moscou Faltischek, P.C., Uniondale, New York.</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32">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we filed with the SEC on March 14, 2025, August 12, 2025 and November 12, 2025, respectively;</w:t>
      </w: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5">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February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April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April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August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August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August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August 27,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14,</w:t>
        </w:r>
      </w:hyperlink>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 xml:space="preserve">November 5, 2025 </w:t>
        </w:r>
      </w:hyperlink>
      <w:hyperlink r:id="rId57">
        <w:r>
          <w:rPr>
            <w:rFonts w:ascii="Times New Roman" w:cs="Times New Roman" w:eastAsia="Times New Roman" w:hAnsi="Times New Roman"/>
            <w:sz w:val="18"/>
            <w:szCs w:val="18"/>
            <w:color w:val="000000"/>
          </w:rPr>
          <w:t>(except in each case for information contained therein which is furnished rather than filed);</w:t>
        </w:r>
      </w:hyperlink>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60" Type="http://schemas.openxmlformats.org/officeDocument/2006/relationships/image" Target="media/image24.png"/><Relationship Id="rId31" Type="http://schemas.openxmlformats.org/officeDocument/2006/relationships/hyperlink" Target="https://www.sec.gov/Archives/edgar/data/883975/000164117225000614/form10-k.htm" TargetMode="External"/><Relationship Id="rId32" Type="http://schemas.openxmlformats.org/officeDocument/2006/relationships/hyperlink" Target="https://www.sec.gov/Archives/edgar/data/883975/000164117225010277/form10-q.htm" TargetMode="External"/><Relationship Id="rId33" Type="http://schemas.openxmlformats.org/officeDocument/2006/relationships/hyperlink" Target="https://www.sec.gov/Archives/edgar/data/883975/000164117225023206/form10-q.htm" TargetMode="External"/><Relationship Id="rId34" Type="http://schemas.openxmlformats.org/officeDocument/2006/relationships/hyperlink" Target="https://www.sec.gov/Archives/edgar/data/883975/000149315225021929/form10-q.htm" TargetMode="External"/><Relationship Id="rId35" Type="http://schemas.openxmlformats.org/officeDocument/2006/relationships/hyperlink" Target="https://www.sec.gov/Archives/edgar/data/883975/000149315225000366/form8-k.htm" TargetMode="External"/><Relationship Id="rId36" Type="http://schemas.openxmlformats.org/officeDocument/2006/relationships/hyperlink" Target="https://www.sec.gov/Archives/edgar/data/883975/000149315225001133/form8-k.htm" TargetMode="External"/><Relationship Id="rId37" Type="http://schemas.openxmlformats.org/officeDocument/2006/relationships/hyperlink" Target="https://www.sec.gov/Archives/edgar/data/883975/000149315225001559/form8-k.htm" TargetMode="External"/><Relationship Id="rId38" Type="http://schemas.openxmlformats.org/officeDocument/2006/relationships/hyperlink" Target="https://www.sec.gov/Archives/edgar/data/883975/000149315225003582/form8-k.htm" TargetMode="External"/><Relationship Id="rId39" Type="http://schemas.openxmlformats.org/officeDocument/2006/relationships/hyperlink" Target="https://www.sec.gov/Archives/edgar/data/883975/000149315225003818/form8-k.htm" TargetMode="External"/><Relationship Id="rId40" Type="http://schemas.openxmlformats.org/officeDocument/2006/relationships/hyperlink" Target="https://www.sec.gov/Archives/edgar/data/883975/000149315225005410/form8-k.htm" TargetMode="External"/><Relationship Id="rId41" Type="http://schemas.openxmlformats.org/officeDocument/2006/relationships/hyperlink" Target="https://www.sec.gov/Archives/edgar/data/883975/000149315225005489/form8-k.htm" TargetMode="External"/><Relationship Id="rId42" Type="http://schemas.openxmlformats.org/officeDocument/2006/relationships/hyperlink" Target="https://www.sec.gov/Archives/edgar/data/883975/000149315225005820/form8-k.htm" TargetMode="External"/><Relationship Id="rId43" Type="http://schemas.openxmlformats.org/officeDocument/2006/relationships/hyperlink" Target="https://www.sec.gov/Archives/edgar/data/883975/000149315225005967/form8-k.htm" TargetMode="External"/><Relationship Id="rId44" Type="http://schemas.openxmlformats.org/officeDocument/2006/relationships/hyperlink" Target="https://www.sec.gov/Archives/edgar/data/883975/000149315225008140/form8-k.htm" TargetMode="External"/><Relationship Id="rId45" Type="http://schemas.openxmlformats.org/officeDocument/2006/relationships/hyperlink" Target="https://www.sec.gov/Archives/edgar/data/883975/000164117225003335/form8-k.htm" TargetMode="External"/><Relationship Id="rId46" Type="http://schemas.openxmlformats.org/officeDocument/2006/relationships/hyperlink" Target="https://www.sec.gov/Archives/edgar/data/883975/000164117225004707/form8-k.htm" TargetMode="External"/><Relationship Id="rId47" Type="http://schemas.openxmlformats.org/officeDocument/2006/relationships/hyperlink" Target="https://www.sec.gov/Archives/edgar/data/883975/000164117225005289/form8-k.htm" TargetMode="External"/><Relationship Id="rId48" Type="http://schemas.openxmlformats.org/officeDocument/2006/relationships/hyperlink" Target="https://www.sec.gov/Archives/edgar/data/883975/000164117225005780/form8-k.htm" TargetMode="External"/><Relationship Id="rId49" Type="http://schemas.openxmlformats.org/officeDocument/2006/relationships/hyperlink" Target="https://www.sec.gov/Archives/edgar/data/883975/000164117225014242/form8-k.htm" TargetMode="External"/><Relationship Id="rId50" Type="http://schemas.openxmlformats.org/officeDocument/2006/relationships/hyperlink" Target="https://www.sec.gov/Archives/edgar/data/883975/000164117225014622/form8-k.htm" TargetMode="External"/><Relationship Id="rId51" Type="http://schemas.openxmlformats.org/officeDocument/2006/relationships/hyperlink" Target="https://www.sec.gov/Archives/edgar/data/883975/000164117225015345/form8-k.htm" TargetMode="External"/><Relationship Id="rId52" Type="http://schemas.openxmlformats.org/officeDocument/2006/relationships/hyperlink" Target="https://www.sec.gov/Archives/edgar/data/883975/000164117225020076/form8-k.htm" TargetMode="External"/><Relationship Id="rId53" Type="http://schemas.openxmlformats.org/officeDocument/2006/relationships/hyperlink" Target="https://www.sec.gov/Archives/edgar/data/883975/000164117225021486/form8-k.htm" TargetMode="External"/><Relationship Id="rId54" Type="http://schemas.openxmlformats.org/officeDocument/2006/relationships/hyperlink" Target="https://www.sec.gov/Archives/edgar/data/883975/000164117225022151/form8-k.htm" TargetMode="External"/><Relationship Id="rId55" Type="http://schemas.openxmlformats.org/officeDocument/2006/relationships/hyperlink" Target="https://www.sec.gov/Archives/edgar/data/883975/000164117225024927/form8-k.htm" TargetMode="External"/><Relationship Id="rId56" Type="http://schemas.openxmlformats.org/officeDocument/2006/relationships/hyperlink" Target="https://www.sec.gov/Archives/edgar/data/883975/000164117225025390/form8-k.htm" TargetMode="External"/><Relationship Id="rId57" Type="http://schemas.openxmlformats.org/officeDocument/2006/relationships/hyperlink" Target="https://www.sec.gov/Archives/edgar/data/883975/000149315225017941/form8-k.htm" TargetMode="External"/><Relationship Id="rId58" Type="http://schemas.openxmlformats.org/officeDocument/2006/relationships/hyperlink" Target="https://www.sec.gov/Archives/edgar/data/883975/000149315225020815/form8-k.htm" TargetMode="External"/><Relationship Id="rId59" Type="http://schemas.openxmlformats.org/officeDocument/2006/relationships/hyperlink" Target="https://www.sec.gov/Archives/edgar/data/883975/0001047469-98-029068.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2025-11-19T16:21:24Z</dcterms:created>
  <dcterms:modified xsi:type="dcterms:W3CDTF">2025-11-19T16:21:24Z</dcterms:modified>
</cp:coreProperties>
</file>