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ind w:left="3920" w:right="1820" w:hanging="3912"/>
        <w:spacing w:after="0" w:line="500" w:lineRule="auto"/>
        <w:tabs>
          <w:tab w:leader="none" w:pos="22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000-19871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of Registrant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i w:val="1"/>
          <w:iCs w:val="1"/>
          <w:color w:val="auto"/>
        </w:rPr>
        <w:t>State or Other Jurisdiction of</w:t>
      </w:r>
    </w:p>
    <w:p>
      <w:pPr>
        <w:spacing w:after="0" w:line="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94-3078125</w:t>
      </w:r>
    </w:p>
    <w:p>
      <w:pPr>
        <w:spacing w:after="0" w:line="3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i w:val="1"/>
          <w:iCs w:val="1"/>
          <w:color w:val="auto"/>
        </w:rPr>
        <w:t>(I.R.S. Employer</w:t>
      </w:r>
    </w:p>
    <w:p>
      <w:pPr>
        <w:spacing w:after="0" w:line="9"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(Address of principal executive offices)</w:t>
      </w:r>
    </w:p>
    <w:p>
      <w:pPr>
        <w:sectPr>
          <w:pgSz w:w="11900" w:h="16838" w:orient="portrait"/>
          <w:cols w:equalWidth="0" w:num="1">
            <w:col w:w="11240"/>
          </w:cols>
          <w:pgMar w:left="320" w:top="740"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(Former name, former address and former fiscal year, if changed since last report)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960" w:type="dxa"/>
            <w:vAlign w:val="bottom"/>
          </w:tcPr>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940" w:type="dxa"/>
            <w:vAlign w:val="bottom"/>
            <w:vMerge w:val="restart"/>
          </w:tcPr>
          <w:p>
            <w:pPr>
              <w:ind w:left="760"/>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303"/>
        </w:trPr>
        <w:tc>
          <w:tcPr>
            <w:tcW w:w="2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960" w:type="dxa"/>
            <w:vAlign w:val="bottom"/>
          </w:tcPr>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c>
          <w:tcPr>
            <w:tcW w:w="2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67,164,801 shares of Common Stock, $0.01 par value at 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80" w:type="dxa"/>
            <w:vAlign w:val="bottom"/>
            <w:gridSpan w:val="9"/>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MICROBOT MEDICAL INC. AND SUBSIDIARY</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7"/>
          </w:tcPr>
          <w:p>
            <w:pPr>
              <w:jc w:val="center"/>
              <w:ind w:right="4360"/>
              <w:spacing w:after="0"/>
              <w:rPr>
                <w:sz w:val="20"/>
                <w:szCs w:val="20"/>
                <w:color w:val="auto"/>
              </w:rPr>
            </w:pPr>
            <w:r>
              <w:rPr>
                <w:rFonts w:ascii="Times New Roman" w:cs="Times New Roman" w:eastAsia="Times New Roman" w:hAnsi="Times New Roman"/>
                <w:sz w:val="18"/>
                <w:szCs w:val="18"/>
                <w:color w:val="auto"/>
                <w:w w:val="97"/>
              </w:rPr>
              <w:t>Index</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102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Balance Sheets as of March 31, 2026 (Unaudited) and December 31, 2025 (Audited)</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102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Comprehensive Loss for the Three Months Ended March 31, 2026 and 2025 (Unaudited)</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Condensed Consolidated Statements of Shareholders’ Equity for the Three Months Ended March 31, 2026 and 2025 (Unaudited)</w:t>
            </w:r>
          </w:p>
        </w:tc>
        <w:tc>
          <w:tcPr>
            <w:tcW w:w="4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02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Cash Flows for the Three Months Ended March 31, 2026 and 2025 (Unaudited)</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53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Interim Unaudited Condensed Consolidated Financial Statements</w:t>
            </w:r>
          </w:p>
        </w:tc>
        <w:tc>
          <w:tcPr>
            <w:tcW w:w="4920" w:type="dxa"/>
            <w:vAlign w:val="bottom"/>
            <w:tcBorders>
              <w:bottom w:val="single" w:sz="8" w:color="CCEEFF"/>
            </w:tcBorders>
            <w:gridSpan w:val="6"/>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5640" w:type="dxa"/>
            <w:vAlign w:val="bottom"/>
            <w:tcBorders>
              <w:bottom w:val="single" w:sz="8" w:color="CCEEFF"/>
            </w:tcBorders>
            <w:gridSpan w:val="7"/>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8500" w:type="dxa"/>
            <w:vAlign w:val="bottom"/>
            <w:tcBorders>
              <w:top w:val="single" w:sz="8" w:color="CCEEFF"/>
            </w:tcBorders>
            <w:gridSpan w:val="11"/>
          </w:tcPr>
          <w:p>
            <w:pPr>
              <w:spacing w:after="0"/>
              <w:rPr>
                <w:sz w:val="15"/>
                <w:szCs w:val="15"/>
                <w:color w:val="auto"/>
              </w:rPr>
            </w:pPr>
          </w:p>
        </w:tc>
        <w:tc>
          <w:tcPr>
            <w:tcW w:w="6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8960" w:type="dxa"/>
            <w:vAlign w:val="bottom"/>
            <w:tcBorders>
              <w:bottom w:val="single" w:sz="8" w:color="CCEEFF"/>
            </w:tcBorders>
            <w:gridSpan w:val="14"/>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7680" w:type="dxa"/>
            <w:vAlign w:val="bottom"/>
            <w:tcBorders>
              <w:top w:val="single" w:sz="8" w:color="CCEEFF"/>
            </w:tcBorders>
            <w:gridSpan w:val="9"/>
          </w:tcPr>
          <w:p>
            <w:pPr>
              <w:spacing w:after="0"/>
              <w:rPr>
                <w:sz w:val="15"/>
                <w:szCs w:val="15"/>
                <w:color w:val="auto"/>
              </w:rPr>
            </w:pPr>
          </w:p>
        </w:tc>
        <w:tc>
          <w:tcPr>
            <w:tcW w:w="6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 Other Information</w:t>
            </w:r>
          </w:p>
        </w:tc>
        <w:tc>
          <w:tcPr>
            <w:tcW w:w="8680" w:type="dxa"/>
            <w:vAlign w:val="bottom"/>
            <w:tcBorders>
              <w:bottom w:val="single" w:sz="8" w:color="CCEEFF"/>
            </w:tcBorders>
            <w:gridSpan w:val="13"/>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0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17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3760" w:type="dxa"/>
            <w:vAlign w:val="bottom"/>
          </w:tcPr>
          <w:p>
            <w:pPr>
              <w:spacing w:after="0"/>
              <w:rPr>
                <w:sz w:val="24"/>
                <w:szCs w:val="24"/>
                <w:color w:val="auto"/>
              </w:rPr>
            </w:pPr>
          </w:p>
        </w:tc>
        <w:tc>
          <w:tcPr>
            <w:tcW w:w="5460" w:type="dxa"/>
            <w:vAlign w:val="bottom"/>
            <w:gridSpan w:val="9"/>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Interim Condensed Consolidated Balance Sheets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37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3240" w:type="dxa"/>
            <w:vAlign w:val="bottom"/>
            <w:gridSpan w:val="5"/>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3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3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Pr>
          <w:p>
            <w:pPr>
              <w:spacing w:after="0"/>
              <w:rPr>
                <w:sz w:val="20"/>
                <w:szCs w:val="20"/>
                <w:color w:val="auto"/>
              </w:rPr>
            </w:pPr>
          </w:p>
        </w:tc>
        <w:tc>
          <w:tcPr>
            <w:tcW w:w="20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10"/>
        </w:trPr>
        <w:tc>
          <w:tcPr>
            <w:tcW w:w="3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376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ASSETS</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3,912</w:t>
            </w: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020" w:type="dxa"/>
            <w:vAlign w:val="bottom"/>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68,843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74,680</w:t>
            </w:r>
          </w:p>
        </w:tc>
        <w:tc>
          <w:tcPr>
            <w:tcW w:w="8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deposit</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2,257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8"/>
                <w:szCs w:val="18"/>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19"/>
                <w:szCs w:val="19"/>
                <w:color w:val="auto"/>
              </w:rPr>
            </w:pPr>
          </w:p>
        </w:tc>
      </w:tr>
      <w:tr>
        <w:trPr>
          <w:trHeight w:val="209"/>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76,528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Long-term deposit</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020" w:type="dxa"/>
            <w:vAlign w:val="bottom"/>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19"/>
                <w:szCs w:val="19"/>
                <w:color w:val="auto"/>
              </w:rPr>
            </w:pPr>
          </w:p>
        </w:tc>
      </w:tr>
      <w:tr>
        <w:trPr>
          <w:trHeight w:val="223"/>
        </w:trPr>
        <w:tc>
          <w:tcPr>
            <w:tcW w:w="3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00" w:type="dxa"/>
            <w:vAlign w:val="bottom"/>
            <w:gridSpan w:val="6"/>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020" w:type="dxa"/>
            <w:vAlign w:val="bottom"/>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8"/>
                <w:szCs w:val="18"/>
                <w:color w:val="auto"/>
              </w:rPr>
            </w:pPr>
          </w:p>
        </w:tc>
      </w:tr>
      <w:tr>
        <w:trPr>
          <w:trHeight w:val="229"/>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2,614</w:t>
            </w:r>
          </w:p>
        </w:tc>
        <w:tc>
          <w:tcPr>
            <w:tcW w:w="80" w:type="dxa"/>
            <w:vAlign w:val="bottom"/>
            <w:shd w:val="clear" w:color="auto" w:fill="CCEEFF"/>
          </w:tcPr>
          <w:p>
            <w:pPr>
              <w:spacing w:after="0"/>
              <w:rPr>
                <w:sz w:val="19"/>
                <w:szCs w:val="19"/>
                <w:color w:val="auto"/>
              </w:rPr>
            </w:pPr>
          </w:p>
        </w:tc>
      </w:tr>
      <w:tr>
        <w:trPr>
          <w:trHeight w:val="210"/>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 net of current portion</w:t>
            </w:r>
          </w:p>
        </w:tc>
        <w:tc>
          <w:tcPr>
            <w:tcW w:w="3020" w:type="dxa"/>
            <w:vAlign w:val="bottom"/>
            <w:gridSpan w:val="3"/>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19"/>
                <w:szCs w:val="19"/>
                <w:color w:val="auto"/>
              </w:rPr>
            </w:pPr>
          </w:p>
        </w:tc>
      </w:tr>
      <w:tr>
        <w:trPr>
          <w:trHeight w:val="209"/>
        </w:trPr>
        <w:tc>
          <w:tcPr>
            <w:tcW w:w="3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3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7000" w:type="dxa"/>
            <w:vAlign w:val="bottom"/>
            <w:gridSpan w:val="6"/>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120,000,000 shares authorized as of</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67,158,044 shares issued and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220" w:type="dxa"/>
            <w:vAlign w:val="bottom"/>
          </w:tcPr>
          <w:p>
            <w:pPr>
              <w:spacing w:after="0"/>
              <w:rPr>
                <w:sz w:val="20"/>
                <w:szCs w:val="20"/>
                <w:color w:val="auto"/>
              </w:rPr>
            </w:pPr>
          </w:p>
        </w:tc>
        <w:tc>
          <w:tcPr>
            <w:tcW w:w="2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Pr>
          <w:p>
            <w:pPr>
              <w:spacing w:after="0"/>
              <w:rPr>
                <w:sz w:val="20"/>
                <w:szCs w:val="20"/>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181,190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180,968</w:t>
            </w:r>
          </w:p>
        </w:tc>
        <w:tc>
          <w:tcPr>
            <w:tcW w:w="80" w:type="dxa"/>
            <w:vAlign w:val="bottom"/>
            <w:shd w:val="clear" w:color="auto" w:fill="CCEEFF"/>
          </w:tcPr>
          <w:p>
            <w:pPr>
              <w:spacing w:after="0"/>
              <w:rPr>
                <w:sz w:val="18"/>
                <w:szCs w:val="18"/>
                <w:color w:val="auto"/>
              </w:rPr>
            </w:pPr>
          </w:p>
        </w:tc>
      </w:tr>
      <w:tr>
        <w:trPr>
          <w:trHeight w:val="23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(107,757)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(104,086)</w:t>
            </w:r>
          </w:p>
        </w:tc>
      </w:tr>
      <w:tr>
        <w:trPr>
          <w:trHeight w:val="210"/>
        </w:trPr>
        <w:tc>
          <w:tcPr>
            <w:tcW w:w="3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78,066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4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105</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09"/>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(see Note 3F)</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(0.05)</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67,158,044</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31,085,606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2024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19,399,513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94,279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(90,944)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3,530</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and warrants, net (1)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13,891,840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25,778</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25,917</w:t>
            </w:r>
          </w:p>
        </w:tc>
        <w:tc>
          <w:tcPr>
            <w:tcW w:w="80" w:type="dxa"/>
            <w:vAlign w:val="bottom"/>
          </w:tcPr>
          <w:p>
            <w:pPr>
              <w:spacing w:after="0"/>
              <w:rPr>
                <w:sz w:val="18"/>
                <w:szCs w:val="18"/>
                <w:color w:val="auto"/>
              </w:rPr>
            </w:pP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at-the-market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program, net (2)</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842,606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shd w:val="clear" w:color="auto" w:fill="CCEEFF"/>
          </w:tcPr>
          <w:p>
            <w:pPr>
              <w:spacing w:after="0"/>
              <w:rPr>
                <w:sz w:val="20"/>
                <w:szCs w:val="20"/>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610,517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20"/>
                <w:szCs w:val="20"/>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8"/>
                <w:szCs w:val="18"/>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(2,601)</w:t>
            </w: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(2,601)</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2025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34,744,476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2025 (Audited)</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67,158,044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180,968</w:t>
            </w: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(104,086)</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77,554</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20"/>
                <w:szCs w:val="20"/>
                <w:color w:val="auto"/>
              </w:rPr>
            </w:pPr>
          </w:p>
        </w:tc>
      </w:tr>
      <w:tr>
        <w:trPr>
          <w:trHeight w:val="22"/>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(3,671)</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(3,671)</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2026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67,158,044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181,190</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(107,757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$2,683, of which $10 had not been paid as of March 31, 2025.</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$65.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$64.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60" w:type="dxa"/>
            <w:vAlign w:val="bottom"/>
            <w:gridSpan w:val="8"/>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4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(3,671)</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(2,601)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(1,673)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64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(28,118)</w:t>
            </w:r>
          </w:p>
        </w:tc>
        <w:tc>
          <w:tcPr>
            <w:tcW w:w="0" w:type="dxa"/>
            <w:vAlign w:val="bottom"/>
          </w:tcPr>
          <w:p>
            <w:pPr>
              <w:spacing w:after="0"/>
              <w:rPr>
                <w:sz w:val="1"/>
                <w:szCs w:val="1"/>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a marketable securities</w:t>
            </w: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long-term deposit</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restricted deposit</w:t>
            </w:r>
          </w:p>
        </w:tc>
        <w:tc>
          <w:tcPr>
            <w:tcW w:w="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27,806</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3,973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204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34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Deferred issuance costs</w:t>
            </w: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 costs not paid</w:t>
            </w:r>
          </w:p>
        </w:tc>
        <w:tc>
          <w:tcPr>
            <w:tcW w:w="64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medical device company specializing in the research, design and development of next generation robotic endoluminal surgery devices targeting the minimally invasive surgery space. The Company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the Company has developed the first-ever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on the peripheral vasculature market. It is designed to eliminate the need for extensive capital equipment requiring dedicated Cath-lab rooms as well as dedicated staff.</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Microbot Medical Ltd., an Israeli corporation and the Company’s sole subsidiary (“Microbot Israel”), are sometimes collectively referred to as the “Company” as the context may require.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March 31, 2026, the Company has not recognized any significant revenues and cannot make any assurances of generating significant revenues in the future.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cash equivalents and marketable securities balance of approximately $72,500, excluding restricted cash. The Company expects to incur significant losses for the foreseeable future as it conducts manufacturing operations, marketing activities for its current product and continues its research and development of any other future product candidates and all other work necessary to obtain regulatory clearances or approvals for its products or product candidates. Notwithstanding these conditions, the Company’s management has concluded that the available funds as of the balance sheet date are sufficient to fund the Company’s operations for more than twelve months from the issuance date of these consolidated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seek to raise additional funds through future issuances of either debt and/or equity securities and possibly additional grants from the Israeli Innovation Authority and other government institutions in order to fund further growth and expansion of the Company.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Middle East Conflict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Israeli military operations at first in Gaza and then in Lebanon. Since that time, the hostilities have escalated into a regional armed conflict involving Iran, Israel, and the United States, including direct military operations and retaliatory actions, as well as engagement by Iran-supported groups across multiple fronts. These developments have included military activity in Syria following the collapse of the Assad regime and Israel’s subsequent military operations in Syria, intensified hostilities by and against the Houthis in Yemen, and continued exchanges involving Iranian-aligned forces throughout the region, including in Lebanon. This regional armed conflict and related hostilities remain ongoing as of the filing date of these consolidated financial statements. Although there have been temporary cease-fires and periods of reduced military activity from time to time, these have been limited in duration and scope and have not resulted in a sustained reduction in regional hostilities or overall security risks.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a special state of emergency was declared in Israel, which included, among other things, the closure of Israel’s airspace, restrictions on public gatherings, temporary closures and/or reduced operating hours of businesses, and the mobilization of military reservists, which have resulted in reduced economic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these and other military operation and related matters, including:</w:t>
      </w:r>
    </w:p>
    <w:p>
      <w:pPr>
        <w:spacing w:after="0" w:line="225" w:lineRule="exact"/>
        <w:rPr>
          <w:sz w:val="20"/>
          <w:szCs w:val="20"/>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may not be fully active and operational, as instructed by the relevant authorities or due to security conditions, workforce mobilization, or disruptions arising from expanded regional hostilities;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to international air travel and cargo transportation in and out of Israel, including the suspension or reduction of service by certain commercial airlines, flight cancellations, delays, increased costs, and logistical constraints;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decreasing international regard for Israeli-based companies in certain quarters, including as a result of the Israeli government’s policies in Gaza and the West Bank, the recent conflict with Iran and heightened regional geopolitical tensions; and</w:t>
      </w: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and actual boycotts of Israel and Israeli-based companies, which may adversely affect the Company’s ability to do business in certain jurisdictions or with certain industry groups or potential customers, among others.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closely monitors how these and other military operations and related activities could adversely affect its anticipated milestones and its Israel-based activities to support future commercial, clinical and regulatory milestones, including the Company’s ability to import materials that are required to</w:t>
      </w:r>
    </w:p>
    <w:p>
      <w:pPr>
        <w:jc w:val="both"/>
        <w:spacing w:after="0" w:line="221" w:lineRule="auto"/>
        <w:rPr>
          <w:sz w:val="20"/>
          <w:szCs w:val="20"/>
          <w:color w:val="auto"/>
        </w:rPr>
      </w:pPr>
      <w:r>
        <w:rPr>
          <w:rFonts w:ascii="Times New Roman" w:cs="Times New Roman" w:eastAsia="Times New Roman" w:hAnsi="Times New Roman"/>
          <w:sz w:val="18"/>
          <w:szCs w:val="18"/>
          <w:color w:val="auto"/>
        </w:rPr>
        <w:t>construct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devices and to ship them outside of Israel. In addition, the Company is also monitoring how negative international reaction to the events in Gaza, the West Bank and elsewhere in the Middle East or any further escalation of hostilities involving Iran could create a corresponding negative perception of companies based in Israel, which if broad enough, could negatively impact the Company’s business.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filing date of these consolidated financial statements, the Company has determined that there have not been any materially adverse effects on its business or operations as a result of the ongoing regional armed conflict involving Israel, Iran, and the United States. However, the Company continues to closely monitor the situation, as the current conflict remains fluid and subject to further escalation or expansion. Any material intensification or broadening of hostilities, including additional direct or indirect actions involving Iran or Iran-supported groups, the collapse of any cease-fire or de-escalation efforts, or other changes in the security environment could result in a material adverse effect on the ability of the Company’s Israeli office to support its clinical, regulatory, and other operational activities. The Company currently does not have any specific contingency plans in place in the event of any such escalation or change in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Unaudited Interim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generally accepted accounting principles in the United States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consolidated condensed financial statements should be read in conjunction with the Company’s latest audited financial statements.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three-month period ended March 31, 2026 are not necessarily indicative of the results that may be expected for the year ending December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derived from the sale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be entitled to, in exchange for transferring products to our customers and is recognized when or as performance obligations under the terms of contracts with our customers are satisfied. ASC 606 prescribes a five-step model for recognizing revenue from contracts with customers: (i) identify contract(s) with the customer; (ii) identify the separate performance obligations in the contract; (iii) determine the transaction price; (iv) allocate the transaction price to the separate performance obligations in the contract; and (v) recognize revenue when (or as) each performance obligation is satisfied.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accepts returns in accordance with its product warranty policy, as in effect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Cost of revenues consists primarily of direct and indirect costs related to the manufacturing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Systems for commercial sale, including third-party manufacturing costs, freight, storage costs, royalties, and inventory write-downs.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8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68,843</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68,843</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68,843</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8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74,680</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74,680</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74,680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74,680</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946"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money market funds are classified as Level 1. Other than that, the Company doesn’t have any other financial assets or financial liabilities marked to market at fair value as of March 31, 2026 and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an allowance for credit losses resulting from the inability of its customers to make required payments. In determining the amount of the allowance for credit losses, the Company considers historical loss data, customer specific information, current market conditions and reasonable and supportable forecasts of future economic conditions to inform adjustments to historical loss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stock options that qualify as “plain-vanilla,” the expected term is calculated using the simplified method. For stock options that do not qualify as “plain-vanilla”, the Company’s management estimated that the expected stock option term is the contractual term of the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determination of each of the inputs can affect the fair value of the stock options granted and the results of operations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FASB issued Accounting Standards Update (ASU) 2024-03, Income Statement—Reporting Comprehensive Income—Expense Disaggregation Disclosures (Subtopic 220-40), Disaggregation of Income Statement Expenses. This update aims to enhance the transparency of financial reporting by requiring public business entities (PBEs) to provide disaggregated disclosure of certain income statement expense captions into specified categories in disclosures within the footnotes to the financial statements. The ASU is effective for fiscal years beginning after December 15, 2026, and interim periods within fiscal years beginning after December 15, 2027. Early adoption is permitted. Adoption of this ASU should be applied on a prospective basis, although retrospective application is permitted. The Company is currently evaluating the impact of adopting this ASU on its consolidated financial statements and disclosures.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No. 2025-05 – Financial Instruments – Credit Losses (Topic 326): Measurement of Credit Losses for Accounts Receivable and Contract Assets, which provides a practical expedient for estimating expected credit losses on current accounts receivable and current contract assets arising from transactions accounted for under Topic 606 – Revenue from Contracts with Customers. Under this practical expedient, entities may assume that current conditions as of the balance sheet date do not change for the remaining life of the asset. The ASU is effective for financial statements issued for fiscal years beginning after December 15, 2025. Early adoption is permitted. The Company is currently evaluating the impact of adopting this ASU on its consolidated financial statements and disclosures.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(“ASU 2025-11”). ASU 2025-11 clarifies the applicability of the interim reporting guidance, the types of interim reporting, and the form and content of interim financial statements in accordance with GAAP. The ASU is not intended to change the fundamental nature of interim reporting or expand or reduce current interim disclosure requirements but rather provide clarity and improve navigability of the existing interim reporting requirements. This guidance is effective for interim reporting periods within annual reporting periods beginning after December 15, 2027. Early adoption is permitted. We are evaluating the impact of this guidance on our interim disclosures.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IIA for participation in research and development since 2013 through March 31, 2026 totaling approximately $2,468. This includes amounts received of approximately $518 in 2025, which is a portion of an additional grant from the IIA in the amount of approximately NIS 2,153 (approximately $673), which was approved by the IIA on July 15, 2025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 of March 31, 2026, the Company received grants from the Ministry of Economy of the State of Israel in the amount of approximately $50,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U.S. market. In relation to the Ministry of Economy grant, the</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up to the grant amount plus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jc w:val="both"/>
        <w:spacing w:after="0" w:line="209"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As partial consideration for the license, Microbot Israel shall pay TRDF royalties on net sales (between 1.5%-3.0%) and on sublicense income as detailed in the License Agreement.</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ATM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The compensation to Wainwright for sales of the shares is a placement fee of 3.0% of the gross sales price of the shares of common stock sold pursuant to this ATM Agreement. See also Note 4C and Note 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 Engagement letters with H.C. Wainwright: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on October 24, 2023 and on May 29, 2024 (which was amended most recently on February 9, 2025),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in certain circumstances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 See also Note 4A and 4D.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at a rate of 3%-5% of net revenue generated as a result of sales, license or other exploitation of the Devices; and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 Mona 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an appellate court held in favor of the Company with respect to a 2019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As a result, the Company received a judgment in the amount of approximately $316, net of legal fees and expenses. The amount received was recorded as other income in the Company’s audited consolidated statements of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Employment-Related Matter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17, 2025, the Company received a demand letter from legal counsel representing a former employee in connection with an employment-related matter. On December 3, 2025, the Company received a charge filed by the former employee with the Massachusetts Commission Against Discrimination (MCAD) and Equal Employment Opportunity Commission (EEOC), alleging discrimination and retaliation. On January 16, 2026, the Company filed a position statement responding to the same and challenging the merits of the charge in total. On March 6, 2026 the former employee filed a rebuttal to same. On May 4, 2026, the MCAD/EEOC dismissed the charge based on the former employee’s notification of intent to file a private right of action in civil court. Based on its initial assessment, the Company believes the allegations lack merit.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Accrued bonuses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recorded accrued bonuses to the CEO, executives and employees, in the aggregate amount of $357.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Registered direct and private placement offerings: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78,333 shares of common stock which have the same terms as investors’ preferred investment options except for an exercise price equal to $1.875 per share.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the Company entered into Securities Purchase Agreements with institutional investors, pursuant to which the Company agreed to issue and sell, in a registered direct offering priced at-the-market under the rules of the Nasdaq Stock Market, an aggregate of 4,000,001 shares of the Company’s common stock, par value $0.01 per share, at an offering price of $1.75 per share, for aggregate gross proceeds from the offerings of approximately $7,000 before deducting the placement agent fee and related offering expenses of approximately $690. In a concurrent private placement, the Company agreed to issue to the investors series G preferred investment options to purchase up to 8,000,002 shares of common stock at an exercise price of $1.75 per share. Each Series G preferred investment option is exercisable immediately and will expire two years from the initial exercise date. The Company also issued to Wainwright or its designees preferred investment options to purchase up to 200,000 shares of common stock which have the same terms as investors’ preferred investment options except for an exercise price equal to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the Company entered into Securities Purchase Agreements with institutional investors, pursuant to which the Company agreed to issue and sell, in a registered direct offering priced at-the-market under the rules of the Nasdaq Stock Market, an aggregate of 3,788,550 shares of the Company’s common stock, par value $0.01 per share, at an offering price of $2.27 per share, for aggregate gross proceeds from the offerings of approximately $8,600 before deducting the placement agent fee and related offering expenses of approximately $818. In a concurrent private placement, the Company agreed to issue to the investors series H preferred investment options to purchase up to 7,577,100 shares of common stock at an exercise price of $2.10 per share. Each Series H preferred investment option is exercisable immediately and will expire two years from the initial exercise date. The Company also issued to Wainwright or its designees preferred investment options to purchase up to 189,428 shares of common stock which have the same terms as investors’ preferred investment options except for an exercise price equal to $2.8375 per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9, 2025, the Company entered into Securities Purchase Agreements with institutional investors, pursuant to which the Company agreed to issue and sell, in a registered direct offering priced at-the-market under the rules of the Nasdaq Stock Market, an aggregate of 6,103,289 shares of the Company’s common stock, par value $0.01 per share, at an offering price of $2.13 per share, for aggregate gross proceeds from the offerings of approximately $13,000 before deducting the placement agent fee and related offering expenses of approximately $1,175. In a concurrent private placement, the Company agreed to issue to the investors series I preferred investment options to purchase up to 12,206,578 shares of common stock at an exercise price of $2.13 per share. Each Series I preferred investment option is exercisable on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law (the “Initial exercise date”), and will expire two years from the initial exercise date. Net cash settlements are not permitted under any event under the Securities Purchase Agreements.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305,164 shares of common stock which have the same terms as investors’ preferred investment options except for an exercise price equal to $2.66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10, 2025, at the Company’s annual meeting of stockholders, an amendment to the Company’s articles of incorporation was approved, increasing the number of authorized shares of common stock to 120,000,000. The amendment was subsequently filed with and accepted by the State of Delaware law and became effective on that date. Refer to Note 4E.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the Series I preferred investment options to purchase up to 12,206,578 shares of common stock at an exercise price of $2.13 per share, and the placement agent preferred investment options to purchase up to 305,164 shares of common stock at an exercise price of $2.66 per share, each of which was issued on February 11, 2025, became immediately exercisable until their two year anniversary.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Company is classified as equity under the requirements of ASC Topic 505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guidance of ASC 480 and ASC 815 the warrants were classified as equity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all of the outstanding preferred investment options issued to Wainwright and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At-the-market offerings: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2024, the Company filed with the SEC a prospectus supplement relating to the offer, issuance and sale of up to $4,820 of the Company’s shares of common stock pursuant to the ATM Agreement. In January 2025, the Company issued 842,606 shares of the Company’s common stock pursuant to the ATM Agreement, for total gross proceeds of approximately $1,062 before deducting sales agent commissions and other offering expenses of $65. Refer to Note 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Exercise of Investment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raised approximately $33,855 in gross proceeds from the exercise of an aggregate of 18,613,585 outstanding Series E, Series F, Series G, Series H and Series I preferred investment options. As a result of these exercises, and in accordance with the Company’s engagement letters with its placement agent, as mentioned in Note 3D, the Company incurred placement agent cash fees of approximately $2,370. Additionally, the Company issued an aggregate of 930,680 placement agent options in accordance with such engagement letter.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the year ended December 31, 2025, the Company received gross proceeds of approximately $895 from the exercise of an aggregate of 374,167 outstanding placement agent options.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 Increase in Authorized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2025 annual meeting of stockholders of the Company held on June 10, 2025, the Company filed with the State of Delaware a certificate of amendment to the Company’s restated certificate of incorporation, as amended, which increased the total number of shares of common stock authorized for issuance to 120,000,000 shares, with a corresponding increase in the total authorized shares from 61,000,000 to 121,000,000. Immediately thereafter, the Company had 121,000,000 shares of authorized stock, consisting of (i) 120,000,000 shares of common stock, and (ii) 1,000,000 shares of undesignated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Investment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14, 2025, the Company entered into an inducement agreement (the “Letter Agreement”) with certain holders (the “Holders”) of existing (i) series F preferred investment options to purchase 207,224 shares of Company’s common stock at an exercise price of $1.50 per share, (ii) series G preferred investment options to purchase 628,571 shares of Company’s common stock at an exercise price of $1.75 per share, (iii) series H preferred investment options to purchase 4,702,612 shares of Company’s common stock at an exercise price of $2.10 per share, and (iv) series I preferred investment options to purchase 8,450,708 shares of Company’s common stock at an exercise price of $2.13 per share (collectively, the “Existing Preferred Investment Options”). Pursuant to the Letter Agreement, the Holders exercised for cash their Existing Preferred Investment Options to purchase an aggregate of 13,989,115 shares of Company’s common stock, at exercise prices ranging from $1.50 to $2.13 per share, in consideration for the Company’s agreement to issue new series J preferred investment options (the “New Preferred Investment Options”) to purchase up to an aggregate of 13,989,115 shares of Company’s common stock at an exercise price of $4.50 per share (collectively, the “Inducement Transaction”). The New Preferred Investment Options are exercisable beginning six months after issuance and will expire two years thereafter.</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first closing of the Inducement Transaction, which occurred on September 16, 2025, certain Holders exercised Existing Preferred Investment Options to purchase up to an aggregate of 12,064,627 shares of Company’s common stock for cash and received New Preferred Investment Options to purchase up to an aggregate of 12,064,627 shares of Company’s common stock. At the second closing of the Inducement Transaction on September 29, 2025, a certain Holder exercised Existing Preferred Investment Options to purchase 600,000 shares of Company’s common stock for cash and received New Preferred Investment Options to purchase up to 600,000 shares of Company’s common stock. At the third closing of the Inducement Transaction, which occurred on October 6, 2025, certain Holders exercised Existing Preferred Investment Options to purchase up to an aggregate of 1,324,488 shares of Company’s common stock for cash and received New Preferred Investment Options to purchase up to an aggregate of 1,324,488 shares of Company’s common stock.</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received aggregate gross proceeds of approximately $29,286 from the exercise of the Existing Preferred Investment Options at the closings, before deducting placement agent fees and other offering expenses of approximately $2,472, of which $101 had not been paid as of March 31, 2026. Additionally, as a result of the Inducement Transaction, and in accordance with the Company’s engagement letters with its placement agent, as mentioned in Note 3D, the Company issued an aggregate of 699,456 placement agent options.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inducement occurred concurrently with a fund raising. Pursuant to the guidance of ASC 480 and ASC 815 the warrants were classified as equity instruments before and after the warrant modification. In accordance with ASC Topic 815 guidance on equity classified warrant modifications, the incremental change in fair value of the warrants was accounted as an equity issuance cost, which was recorded to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Employee Stock Option Grants and Exercises: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w:t>
      </w:r>
    </w:p>
    <w:p>
      <w:pPr>
        <w:spacing w:after="0" w:line="225"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that 35,625 out of 132,500 performance-based options granted in February 2024 had met their milestones and been vested, while the remainder 96,875 options which did not meet their milestones had been forfeited.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Company’s annual meeting of stockholders, an amendment to the Company’s 2020 Omnibus Performance Award Plan (as amended) was approved. This amendment increased the number of shares of common stock authorized and reserved for issuance under the plan by 2,591,019 shares.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the CEO, other executives and certain employees, and certain board members 228,000, 483,875 and 70,000 options, respectively.</w:t>
      </w: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former advisor of the Company exercised 47,218 vested options at an exercise price of NIS 0.01 per option. As a result of this exercise, the Company received total consideration of approximately $1.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options vest over a period of three years as outlined in the option agreements evidencing such option grants.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granted the CEO and executives 480,000 and 315,000 options,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outstanding warrants and terms as of March 31, 2026 and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exercisable as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8"/>
        </w:trPr>
        <w:tc>
          <w:tcPr>
            <w:tcW w:w="30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Exercisable Through</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51,125</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6.11</w:t>
            </w:r>
          </w:p>
        </w:tc>
        <w:tc>
          <w:tcPr>
            <w:tcW w:w="34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32,778</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2.75</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23, 2026</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60,476</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60,476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2.75</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24, 2026</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35,088</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2.67</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2028</w:t>
            </w:r>
          </w:p>
        </w:tc>
      </w:tr>
      <w:tr>
        <w:trPr>
          <w:trHeight w:val="216"/>
        </w:trPr>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31,231</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4.06</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28, 2028</w:t>
            </w:r>
          </w:p>
        </w:tc>
      </w:tr>
      <w:tr>
        <w:trPr>
          <w:trHeight w:val="216"/>
        </w:trPr>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January 2024</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84,284</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84,284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2.03</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2029</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2024</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28,102</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1.88</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 2026</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January 2025</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71,750</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2.19</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7, 2027</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January 2025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189,428</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189,428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2.84</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10, 2027</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January 2025</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30,526</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1.88</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2030</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February 2025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109,478</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109,478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2.66</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10, 2027</w:t>
            </w: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September</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10,362</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1.88</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2028</w:t>
            </w:r>
          </w:p>
        </w:tc>
      </w:tr>
      <w:tr>
        <w:trPr>
          <w:trHeight w:val="198"/>
        </w:trPr>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September</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31,429</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2.19</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16, 2028</w:t>
            </w: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September</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138,906</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2.62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2028</w:t>
            </w:r>
          </w:p>
        </w:tc>
      </w:tr>
      <w:tr>
        <w:trPr>
          <w:trHeight w:val="198"/>
        </w:trPr>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September</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422,535</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422,535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2.66</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16, 2028</w:t>
            </w: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September</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30,000</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2.62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2028</w:t>
            </w:r>
          </w:p>
        </w:tc>
      </w:tr>
      <w:tr>
        <w:trPr>
          <w:trHeight w:val="198"/>
        </w:trPr>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September</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53,758</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53,758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1,88</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16, 2031</w:t>
            </w: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September</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146,306</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146,306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1.88</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2027</w:t>
            </w:r>
          </w:p>
        </w:tc>
      </w:tr>
      <w:tr>
        <w:trPr>
          <w:trHeight w:val="198"/>
        </w:trPr>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September</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368,572</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368,572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2.19</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16, 2027</w:t>
            </w:r>
          </w:p>
        </w:tc>
      </w:tr>
      <w:tr>
        <w:trPr>
          <w:trHeight w:val="198"/>
        </w:trPr>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September</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143,723</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143,723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2.63</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16, 2027</w:t>
            </w:r>
          </w:p>
        </w:tc>
      </w:tr>
      <w:tr>
        <w:trPr>
          <w:trHeight w:val="198"/>
        </w:trPr>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September</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187,794</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187,794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2.66</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16, 2027</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J September 2025</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12,064,627</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12,064,627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4.50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16, 2028</w:t>
            </w: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series J September 2025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600,000</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4.50</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29, 2028</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J October 2025</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1,324,488</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1,324,488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4.50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6, 2028</w:t>
            </w:r>
          </w:p>
        </w:tc>
      </w:tr>
      <w:tr>
        <w:trPr>
          <w:trHeight w:val="230"/>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October 2025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66,224</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66,224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2.63</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6, 2028</w:t>
            </w:r>
          </w:p>
        </w:tc>
      </w:tr>
      <w:tr>
        <w:trPr>
          <w:trHeight w:val="223"/>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16,312,990</w:t>
            </w:r>
          </w:p>
        </w:tc>
        <w:tc>
          <w:tcPr>
            <w:tcW w:w="3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16,312,990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3"/>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5 –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information is prepared on the same basis that the Company’s chief operating decision maker (“CODM”), the Chief Executive Officer, manages the business, makes business decisions and assesses performance. The Company has one operating and reportable segment, which is the development of robotic devices for endoluminal surgery. See Note 1A for further details.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assesses performance for this segment and decides how to allocate resources based on net loss. The measure of segment assets is reported on the balance sheet as cash and cash equivalents and marketable securities. The chief executive officer performs the assessment of segment performance by using the reported measure of segment loss to monitor actual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three months ended March 31, 2026 and 2025:</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3840" w:type="dxa"/>
            <w:vAlign w:val="bottom"/>
            <w:gridSpan w:val="7"/>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23"/>
        </w:trPr>
        <w:tc>
          <w:tcPr>
            <w:tcW w:w="6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6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payroll related</w:t>
            </w:r>
          </w:p>
        </w:tc>
        <w:tc>
          <w:tcPr>
            <w:tcW w:w="1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Materials and subcontractors</w:t>
            </w:r>
          </w:p>
        </w:tc>
        <w:tc>
          <w:tcPr>
            <w:tcW w:w="116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 (*)</w:t>
            </w:r>
          </w:p>
        </w:tc>
        <w:tc>
          <w:tcPr>
            <w:tcW w:w="1160" w:type="dxa"/>
            <w:vAlign w:val="bottom"/>
          </w:tcPr>
          <w:p>
            <w:pPr>
              <w:spacing w:after="0"/>
              <w:rPr>
                <w:sz w:val="19"/>
                <w:szCs w:val="19"/>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460" w:hanging="319"/>
        <w:spacing w:after="0" w:line="257" w:lineRule="auto"/>
        <w:tabs>
          <w:tab w:leader="none" w:pos="1440" w:val="left"/>
        </w:tabs>
        <w:rPr>
          <w:sz w:val="20"/>
          <w:szCs w:val="20"/>
          <w:color w:val="auto"/>
        </w:rPr>
      </w:pPr>
      <w:r>
        <w:rPr>
          <w:rFonts w:ascii="Times New Roman" w:cs="Times New Roman" w:eastAsia="Times New Roman" w:hAnsi="Times New Roman"/>
          <w:sz w:val="18"/>
          <w:szCs w:val="18"/>
          <w:color w:val="auto"/>
        </w:rPr>
        <w:t>(*)</w:t>
        <w:tab/>
        <w:t>Other segment items included within net loss include professional services, patents, overhead and depreciation, travel expenses, insurance expenses, financial income, net, other income and other miscellaneous expenses net of grants received. See the consolidated financial statements for other financial information regarding the Company’s operating segment.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2025, the Company entered into a lease agreement for its US office for the period from March 2025 until February 2027. The monthly lease payments are approximately $2.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July 2025, Microbot Israel entered into a lease agreement for its Israel office for the period from July 2025 until October 2029. The monthly lease payments are approximately $19. To secure the lease payments, the Company issued a bank guarantee of $54 in favor of the facility’s lessor.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Additionally, the Company has several agreements for car leases.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obligations under our non-cancelable lease agreements as of March 31, 2026 were as follows: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9"/>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9"/>
        </w:trPr>
        <w:tc>
          <w:tcPr>
            <w:tcW w:w="9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9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leases as of March 31, 2026:</w:t>
            </w: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8"/>
              </w:rPr>
              <w:t>8.03%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lease cost for the three months ended March 31, 2026 was $35. This cost is classified as operating lease expense in the Company’s consolidated statements of comprehensive loss for the three months ended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under operating lease agreements for the three months ended March 31, 2026 is $100.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for the three months ended March 31, 2026 is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10, 2026, the Company filed with the SEC a prospectus supplement relating to the offer, issuance and sale of up to $39,231 of the Company’s shares of common stock pursuant to the ATM Agreement. As of filing date of these interim financial statements, the Company issued 6,757 shares of the Company’s common stock pursuant to the ATM Agreement, for total gross proceeds of approximately $17 before deducting sales agent commissions and other offering expenses of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grant option to employees and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2026, the Company granted the board of directors and employees 60,000 and 272,500 options,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2025.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2025.</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have developed the first-ever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System</w:t>
      </w:r>
    </w:p>
    <w:p>
      <w:pPr>
        <w:spacing w:after="0" w:line="14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FDA-cleared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features a unique compact, single-use design with the capability to be operated remotely, reduce radiation exposure and physical strain to the physician, as well as the potential to eliminate the use of consumables.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designed to maneuver guidewires and over-the-wire devices (such as microcatheters) within the body’s vasculature. It eliminates the need for extensive capital equipment requiring dedicated Cath-lab rooms as well as dedicated staff, when compared to other robotic systems.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9" w:lineRule="exact"/>
        <w:rPr>
          <w:rFonts w:ascii="Times New Roman" w:cs="Times New Roman" w:eastAsia="Times New Roman" w:hAnsi="Times New Roman"/>
          <w:sz w:val="18"/>
          <w:szCs w:val="18"/>
          <w:color w:val="auto"/>
        </w:rPr>
      </w:pPr>
    </w:p>
    <w:p>
      <w:pPr>
        <w:ind w:left="660" w:hanging="328"/>
        <w:spacing w:after="0" w:line="182" w:lineRule="auto"/>
        <w:tabs>
          <w:tab w:leader="none" w:pos="660" w:val="left"/>
        </w:tabs>
        <w:numPr>
          <w:ilvl w:val="0"/>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our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 catheters.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A remote control designed to be intuitive aims to simplify advanced procedures while shortening the physician’s learning curve.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0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Our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to perform simulated cardiovascular interventional procedures across two sites within the Corewell Health™ system located 5 miles apart. The telesurgery feature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still being evaluated and is not covered under the Company’s 510(k) clearance with the U.S. Food and Drug Administration (“FDA”).</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ultimately allowing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Europe as well as other regions who accept the CE Mark. We anticipate CE Mark approval in the second half of 2026. However, we can give no assurance that we will meet this or any other projected milestones, if ever. In addition, in view of recent FDA quality system management regulations and its incorporation by reference of the ISO 13485 standard, we believe it will help streamline our transition into this revised FDA regulation.</w:t>
      </w:r>
    </w:p>
    <w:p>
      <w:pPr>
        <w:spacing w:after="0" w:line="20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On September 8, 2025, we announced that the FDA has granted 510(k) clearance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November 2025, we announced the limited market release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to selected high procedure volume regions where we already experienced preliminary demand for the product. The Company’s full market release was at the Society of Interventional Radiology conference in April 2026.</w:t>
      </w:r>
    </w:p>
    <w:p>
      <w:pPr>
        <w:spacing w:after="0" w:line="19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with an imaging system to create an autonomous robotic system for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endovascular procedures. In November 2025, we announced that Emory University Hospital adopted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for patient care, and that we are collaborating with it to establish an Endovascular Robotics Program in interventional radiology.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Middle East Conflict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Israeli military operations at first in Gaza and then in Lebanon. Since that time, the hostilities have escalated into a regional armed conflict involving Iran, Israel, and the United States, including direct military operations and retaliatory actions, as well as engagement by Iran-supported groups across multiple fronts. These developments have included military activity in Syria following the collapse of the Assad regime and Israel’s subsequent military operations in Syria, intensified hostilities by and against the Houthis in Yemen, and continued exchanges involving Iranian-aligned forces throughout the region, including in Lebanon. This regional armed conflict and related hostilities remain ongoing as of the filing date of these consolidated financial statements. Although there have been temporary cease-fires and periods of reduced military activity from time to time, these have been limited in duration and scope and have not resulted in a sustained reduction in regional hostilities or overall security risks.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a special state of emergency was declared in Israel, which included, among other things, the closure of Israel’s airspace, restrictions on public gatherings, temporary closures and/or reduced operating hours of businesses, and the mobilization of military reservists, which have resulted in reduced economic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these and other military operation and related matters, including:</w:t>
      </w:r>
    </w:p>
    <w:p>
      <w:pPr>
        <w:spacing w:after="0" w:line="225" w:lineRule="exact"/>
        <w:rPr>
          <w:sz w:val="20"/>
          <w:szCs w:val="20"/>
          <w:color w:val="auto"/>
        </w:rPr>
      </w:pPr>
    </w:p>
    <w:p>
      <w:pPr>
        <w:jc w:val="both"/>
        <w:ind w:left="1300" w:right="20" w:hanging="320"/>
        <w:spacing w:after="0" w:line="257"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may not be fully active and operational, as instructed by the relevant authorities or due to security conditions, workforce mobilization, or disruptions arising from expanded regional hostilities;</w:t>
      </w:r>
    </w:p>
    <w:p>
      <w:pPr>
        <w:spacing w:after="0" w:line="1"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to international air travel and cargo transportation in and out of Israel, including the suspension or reduction of service by certain commercial airlines, flight cancellations, delays, increased costs, and logistical constraints;</w:t>
      </w:r>
    </w:p>
    <w:p>
      <w:pPr>
        <w:ind w:left="1300" w:hanging="320"/>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decreasing international regard for Israeli-based companies in certain quarters, including as a result of the Israeli government’s policies in Gaza and the West Bank, the recent conflict with Iran and heightened regional geopolitical tensions; and</w:t>
      </w:r>
    </w:p>
    <w:p>
      <w:pPr>
        <w:ind w:left="1300" w:hanging="320"/>
        <w:spacing w:after="0" w:line="26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and actual boycotts of Israel and Israeli-based companies, which may adversely affect the Company’s ability to do business in certain jurisdictions or with certain industry groups or potential customers, among others.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closely monitors how these and other military operations and related activities could adversely affect its anticipated milestones and its Israel-based activities to support future commercial, clinical and regulatory milestones, including the Company’s ability to import materials that are required to</w:t>
      </w:r>
    </w:p>
    <w:p>
      <w:pPr>
        <w:jc w:val="both"/>
        <w:spacing w:after="0" w:line="221" w:lineRule="auto"/>
        <w:rPr>
          <w:sz w:val="20"/>
          <w:szCs w:val="20"/>
          <w:color w:val="auto"/>
        </w:rPr>
      </w:pPr>
      <w:r>
        <w:rPr>
          <w:rFonts w:ascii="Times New Roman" w:cs="Times New Roman" w:eastAsia="Times New Roman" w:hAnsi="Times New Roman"/>
          <w:sz w:val="18"/>
          <w:szCs w:val="18"/>
          <w:color w:val="auto"/>
        </w:rPr>
        <w:t>construct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devices and to ship them outside of Israel. In addition, the Company is also monitoring how negative international reaction to the events in Gaza, the West Bank and elsewhere in the Middle East or any further escalation of hostilities involving Iran could create a corresponding negative perception of companies based in Israel, which if broad enough, could negatively impact the Company’s business.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As of the filing date of these consolidated financial statements, the Company has determined that there have not been any materially adverse effects on its business or operations as a result of the ongoing regional armed conflict involving Israel, Iran, and the United States. However, the Company continues to closely monitor the situation, as the current conflict remains fluid and subject to further escalation or expansion. Any material intensification or broadening of hostilities, including additional direct or indirect actions involving Iran or Iran-supported groups, the collapse of any cease-fire or de-escalation efforts, or other changes in the security environment could result in a material adverse effect on the ability of the Company’s Israeli office to support its clinical, regulatory, and other operational activities. The Company currently does not have any specific contingency plans in place in the event of any such escalation or change in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consists of selling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to hospitals.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Our cost of revenues consists primarily of labor expenses, materials, and other related manufacturing costs associated with manufacturing units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is calculated as net revenue less cost of goods sold. We calculate gross margin as gross profit divided by net revenue. Our gross margin has been and will continue to be affected by a variety of factors, including sales price and volume, costs associated with third-party manufacturing, direct labor costs, and costs of other operation activities. We expect our gross margin to increase over the long term with production scale and other planned manufacturing efficiencies.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benefits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general and administrative expenses consist primarily of the costs associated with salaries, benefits and related expenses, sales and marketing activities, professional fees for accounting, auditing, consulting, legal services, and insurance expenses. Microbot expects that its sales, general and administrative expenses will increase over the long-term, as it expands its operating and commercialization activities, maintains compliance with exchange listing and SEC requirements.</w:t>
      </w:r>
    </w:p>
    <w:p>
      <w:pPr>
        <w:spacing w:after="0" w:line="18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Microbot expects these potential increases will likely include management costs, the costs of building out marketing and sales teams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legal fees, accounting fees, insurance premiums and expenses associated with investor relations.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more likely than not that sufficient taxable income will not be available for the tax losses to be fully utilized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actual cost, determined using the first-in, first-out method, or net realizable value (“NRV”).</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primarily consist of raw materials ordered by us or in advance by our third-party contract manufacturer. Work in process and finished goods are produced by our third-party contract manufacturer and include direct labor and allocable overhead. We routinely evaluate the quantity and value of our inventories in light of current market conditions, and based on expiration of sterilization dates or defective inventory, and record write-downs when NRV is below cost.</w:t>
      </w:r>
    </w:p>
    <w:p>
      <w:pPr>
        <w:spacing w:after="0" w:line="18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Company began ramping up inventory manufacturing for units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intended for sale after receiving FDA clearance on September 4,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Financial Accounting Standards Board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three-month periods ended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5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3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105</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8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(103)</w:t>
            </w:r>
          </w:p>
        </w:tc>
        <w:tc>
          <w:tcPr>
            <w:tcW w:w="88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(1,293)</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(1,459)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Sales, General and administrative expenses</w:t>
            </w:r>
          </w:p>
        </w:tc>
        <w:tc>
          <w:tcPr>
            <w:tcW w:w="88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(3,029)</w:t>
            </w:r>
          </w:p>
        </w:tc>
        <w:tc>
          <w:tcPr>
            <w:tcW w:w="88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8"/>
              </w:rPr>
              <w:t>(1,562)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880" w:type="dxa"/>
            <w:vAlign w:val="bottom"/>
          </w:tcPr>
          <w:p>
            <w:pPr>
              <w:spacing w:after="0"/>
              <w:rPr>
                <w:sz w:val="19"/>
                <w:szCs w:val="19"/>
                <w:color w:val="auto"/>
              </w:rPr>
            </w:pPr>
          </w:p>
        </w:tc>
        <w:tc>
          <w:tcPr>
            <w:tcW w:w="7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649</w:t>
            </w:r>
          </w:p>
        </w:tc>
        <w:tc>
          <w:tcPr>
            <w:tcW w:w="880" w:type="dxa"/>
            <w:vAlign w:val="bottom"/>
          </w:tcPr>
          <w:p>
            <w:pPr>
              <w:spacing w:after="0"/>
              <w:rPr>
                <w:sz w:val="19"/>
                <w:szCs w:val="19"/>
                <w:color w:val="auto"/>
              </w:rPr>
            </w:pPr>
          </w:p>
        </w:tc>
        <w:tc>
          <w:tcPr>
            <w:tcW w:w="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545</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(2,601</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three-month period ended March 31, 2026, the Company generated revenue exclusively from the sale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Endovascular Robotic System in its Limited Market Release to certain hospital customers, compared with no revenue in the corresponding period of 2025 as the Company had not yet commenced commercial operations. In the third quarter of 2025, the Company launched the Limited Market Release of the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where it strategically introduced the product into select high procedure volume regions. This Limited Market Release continued through the end of the three-month period ended March 31, 2026. The Company commenced its Full Market Release subsequent to the three month period ended March 31, 2026, in April 2026.</w:t>
      </w:r>
    </w:p>
    <w:p>
      <w:pPr>
        <w:spacing w:after="0" w:line="20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Cost of revenue consists primarily of direct and indirect costs related to the manufacturing of units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Robotic System for commercial sale, including personnel costs, third-party manufacturing costs, packaging services, freight, storage costs, and write down of inventories. The Company did not recognize cost of revenues for the three-month period ended March 31, 2025 as it had not yet commenced commercial operations.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for the three months ended March 31, 2026, compared to the same periods in 2025,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increases government grants recognized as a reduction of research and development expenses in 2026, as well as a decrease in professional services expenses which was primarily due to the capitalization of manufacturing costs into inventory in 2026. In contrast, during 2025, prior to the Company’s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receipt of FDA clearance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September 2025, such manufacturing costs were expensed as incurred within research and development expense. This decrease was partially offset by an increase in payroll and related expenses due to new hires, salary increases and bonuses.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Sales, General and Administrative Expenses</w:t>
      </w:r>
      <w:r>
        <w:rPr>
          <w:rFonts w:ascii="Times New Roman" w:cs="Times New Roman" w:eastAsia="Times New Roman" w:hAnsi="Times New Roman"/>
          <w:sz w:val="18"/>
          <w:szCs w:val="18"/>
          <w:color w:val="auto"/>
        </w:rPr>
        <w:t>. The increase for the three months ended March 31, 2026, compared to the same periods in 2025,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payroll and related expenses mainly due to new hiring, salary increases and bonuses and increase in commercialization activities.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During the three months ended March 31, 2025, the Company received a judgment in the amount of approximately $316,000 net of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and expenses. This judgment is non-recurring and no similar payments or other income was paid to the Company during the three months ended March 31, 2026.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The increase for the three months ended March 31, 2026 compared to the same periods in 2025, was primarily due to higher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from short-term investments resulting from the capital raised in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Microbot has not recognized any significant revenues, and cannot make any assurances of generating significant revenues in the future. Microbot has incurred losses since inception and negative cash flows from operating activities for all periods presented. As of March 31, 2026, Microbot had a net working capital of approximately $73.1 million, consisting primarily of cash and cash equivalents and marketable securities. This compares to net working capital of approximately $76.4 million as of December 31, 2025. Microbot anticipates that it will continue to incur net losses for</w:t>
      </w:r>
    </w:p>
    <w:p>
      <w:pPr>
        <w:spacing w:after="0" w:line="3"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8"/>
          <w:szCs w:val="18"/>
          <w:color w:val="auto"/>
        </w:rPr>
        <w:t>the foreseeable future as it continues to ramp up manufacturing and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continues research and development efforts with respect to other uses for it and other potential technologies and products, and continues to incur costs associated with being a public company.</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March 31, 2026, Microbot has raised cash proceeds of approximately $168.3 million. Since inception (November 2010) through March 31, 2026, Microbot incurred a total cumulative loss of approximately $107.8 million.</w:t>
      </w:r>
    </w:p>
    <w:p>
      <w:pPr>
        <w:spacing w:after="0" w:line="1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third quarter of 2025, the Company launched the Limited Market Release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where it strategically introduced the product into select high procedure volume regions. This Limited Market Release continued through the end of the three-month period ended March 31, 2026, generating $105,000 in revenues during that period. The Company commenced its Full Market Release subsequent to the three month period ended March 31, 2026, in April 2026, and is seeking to grow its customer base and its revenues.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our fiscal year ended December 31, 2025 and through March 31, 2026, we raised the following amounts: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$1.1 million in January 2025, before fees and expenses of $65,452, through our At-the-Market facility;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an aggregate of approximately $15.6 million in gross proceeds, before fees and expenses of approximately $1.4 million, from institutional investors;</w:t>
      </w:r>
    </w:p>
    <w:p>
      <w:pPr>
        <w:ind w:left="660" w:right="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approximately $916,000 in gross proceeds from the exercise of outstanding preferred investment options, before fees and expenses of $64,164;</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an aggregate of approximately $13.0 million in gross proceeds, before fees and expenses of approximately $1.2 million, from the sale of our securities to institutional investors;</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approximately $2.3 million in gross proceeds from the exercise of outstanding Series E and Series F preferred investment options, before fees and expenses of approximately $161,000;</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approximately $1.4 million in gross proceeds from the exercise of outstanding Series F preferred investment options, before fees and expenses of approximately $98,000;</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approximately $1.3 million in gross proceeds from the exercise of outstanding Series E, F and G preferred investment options, before fees and expenses of approximately $93,000;</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approximately $12.2 million in gross proceeds from the exercise of outstanding Series F and G preferred investment options, before fees and expenses of approximately $706,000;</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approximately $15.2 million in gross proceeds from the exercise of outstanding Series E, G, H, I preferred investment options, before fees and expenses of approximately $1.1 million;</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approximately $472,500 in gross proceeds from the exercise of outstanding Series H preferred investment options, before fees and expenses of $33,075;</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approximately $895,744 in gross proceeds from the exercise of placement agent options;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an aggregate of approximately $26.5 million in gross proceeds from an inducement transaction exercise of outstanding preferred investment options, before fees and expenses of approximately $2.2 million, from institutional investors; and</w:t>
      </w:r>
    </w:p>
    <w:p>
      <w:pPr>
        <w:ind w:left="660" w:right="2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an aggregate of approximately $2.8 million in gross proceeds from the inducement transaction exercise of outstanding preferred investment options, before fees and expenses of approximately $223,000, from institutional investors.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on April 10, 2026, the Company filed with the SEC a prospectus supplement relating to the offer, issuance and sale of up to $39,230,691 of the Company’s shares of common stock pursuant to the At-the-Market facility.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filing date of these interim financial statements, the Company issued 6,757 shares of its common stock pursuant to the Company’s At the Market facility, for total gross proceeds of approximately $17,021 before deducting sales agent commissions and other offering expenses of $781.</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March 31, 2026 in the total amount of approximately $2.5 million. This amount includes amounts received of approximately $518,000, which are a portion of an additional grant from the IIA in the amount of approximately NIS 2.2 million (approximately $673,000) approved on July 15, 2025, to further finance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w:t>
      </w:r>
    </w:p>
    <w:p>
      <w:pPr>
        <w:spacing w:after="0" w:line="18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 of March 31, 2026, Microbot received grants from the Ministry of Economy of the State of Israel in the amount of approximately $50,000,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U.S. market. In relation to the Ministry of Economy grant,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up to the grant amount plus interest.</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 the extent available, Microbot intends to continue to raise capital through future public and private issuances of debt and/or equity securities, including pursuant to our At-the-Market facility described above and upon any cash exercise of its outstanding investment options by the holders of such options, to fund its commercial activities and working capital and general business purposes, including to continue to build a commercial and sales team in the U.S.</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and elsewhere as part of its full market release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which commenced in April 2026. The capital raises from issuances of convertible debt and equity securities could result in additional dilution to Microbot’s shareholders. In addition, to the extent Microbot is determined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it or on terms acceptable to it, if at all, and will need additional funds to continue the commercialization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filing date of this Quarterly Report on Form 10-Q, management believes we have sufficient funds for our operations for in excess of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(24,830)</w:t>
            </w:r>
          </w:p>
        </w:tc>
      </w:tr>
      <w:tr>
        <w:trPr>
          <w:trHeight w:val="23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27,806</w:t>
            </w:r>
          </w:p>
        </w:tc>
        <w:tc>
          <w:tcPr>
            <w:tcW w:w="80" w:type="dxa"/>
            <w:vAlign w:val="bottom"/>
            <w:shd w:val="clear" w:color="auto" w:fill="CCEEFF"/>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11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increase in net cash flows used in operating activities during the three months ended March 31, 2026 compared the same periods in 2025, was primarily from an increase in the cost to manufacture inventory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sales and marketing, and general and administration expenses.</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of net cash flows provided by investing activities was primarily due to mostly purchases of marketable securities during the period ending March 31, 2025 compared to mostly sales of marketable securities during the same period in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net cash flows provided by financing activities was due to issuance of common stock and warrants during the first quarter of 2025, with no similar activity during the comparable period in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March 31, 2026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profitability,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March 31, 2026. Based on that review and evaluation, the Chief Executive Officer and Chief Financial Officer, along with the management of the Company, have determined that as of March 31, 2026,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3G to the unaudited financial statements for the fiscal quarter ended March 31, 2026, earlier in this Quarterly Report on Form 10-Q.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share repurchase activity for the three months ended March 31, 2026.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[set forth above or as] previously disclosed in the Company’s Current Reports on Form 8-K filed from time to time with the Securities and Exchange Commission, the Company did not have any unregistered sales of its equity securities during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40"/>
          </w:cols>
          <w:pgMar w:left="320" w:top="684" w:right="339" w:bottom="1440" w:gutter="0" w:footer="0" w:header="0"/>
        </w:sect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61" w:lineRule="auto"/>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Agreement and Plan of Merger and Reorganization, dated as of August 15, 2016, by and among StemCells, Inc., C&amp;RD Israel Ltd. and</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Microbot Medical Ltd. (incorporated by reference to the Company’s Current Report on Form 8-K filed on August 15, 2016).</w:t>
        </w:r>
      </w:hyperlink>
    </w:p>
    <w:p>
      <w:pPr>
        <w:spacing w:after="0" w:line="250" w:lineRule="auto"/>
        <w:rPr>
          <w:rFonts w:ascii="Times New Roman" w:cs="Times New Roman" w:eastAsia="Times New Roman" w:hAnsi="Times New Roman"/>
          <w:sz w:val="18"/>
          <w:szCs w:val="18"/>
          <w:u w:val="single" w:color="auto"/>
          <w:color w:val="0000EE"/>
        </w:rPr>
      </w:pPr>
      <w:hyperlink r:id="rId38">
        <w:r>
          <w:rPr>
            <w:rFonts w:ascii="Times New Roman" w:cs="Times New Roman" w:eastAsia="Times New Roman" w:hAnsi="Times New Roman"/>
            <w:sz w:val="18"/>
            <w:szCs w:val="18"/>
            <w:u w:val="single" w:color="auto"/>
            <w:color w:val="0000EE"/>
          </w:rPr>
          <w:t>Restated Certificate of Incorporation of the Company (incorporated by reference to the Company’s Annual Report on Form 10-K for the fiscal</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year ended December 31, 2006 and filed on March 15, 2007).</w:t>
        </w:r>
      </w:hyperlink>
    </w:p>
    <w:p>
      <w:pPr>
        <w:spacing w:after="0" w:line="1"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Certificate of Amendment to the Restated Certificate of Incorporation of the Company (incorporated by reference to the Company’s Current</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Report on Form 8-K filed on November 29, 2016).</w:t>
        </w:r>
      </w:hyperlink>
    </w:p>
    <w:p>
      <w:pPr>
        <w:spacing w:after="0" w:line="1"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Certificate of Amendment to the Restated Certificate of Incorporation (incorporated by reference to the Company’s Current Report on Form</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8-K filed on September 4, 2018).</w:t>
        </w:r>
      </w:hyperlink>
    </w:p>
    <w:p>
      <w:pPr>
        <w:spacing w:after="0" w:line="1" w:lineRule="exact"/>
        <w:rPr>
          <w:sz w:val="20"/>
          <w:szCs w:val="20"/>
          <w:color w:val="auto"/>
        </w:rPr>
      </w:pPr>
    </w:p>
    <w:p>
      <w:pPr>
        <w:ind w:right="20"/>
        <w:spacing w:after="0" w:line="250" w:lineRule="auto"/>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Amended and Restated By-Laws of the Company (incorporated by reference to the Company’s Current Report on Form 8-K filed on May 3,</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2016).</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Certificate of Elimination (incorporated by reference to the Company’s Current Report on Form 8-K filed on December 12, 2018).</w:t>
        </w:r>
      </w:hyperlink>
    </w:p>
    <w:p>
      <w:pPr>
        <w:spacing w:after="0" w:line="9" w:lineRule="exact"/>
        <w:rPr>
          <w:sz w:val="20"/>
          <w:szCs w:val="20"/>
          <w:color w:val="auto"/>
        </w:rPr>
      </w:pPr>
    </w:p>
    <w:p>
      <w:pPr>
        <w:spacing w:after="0" w:line="260" w:lineRule="auto"/>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Certificate of Amendment to the Restated Certificate of Incorporation (incorporated by reference to the Company’s Current Report on Form</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8-K filed on September 11, 2019).</w:t>
        </w:r>
      </w:hyperlink>
    </w:p>
    <w:p>
      <w:pPr>
        <w:spacing w:after="0" w:line="18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60" w:space="720"/>
            <w:col w:w="10260"/>
          </w:cols>
          <w:pgMar w:left="320" w:top="684"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3.7</w:t>
            </w:r>
          </w:p>
        </w:tc>
        <w:tc>
          <w:tcPr>
            <w:tcW w:w="102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3140" w:type="dxa"/>
            <w:vAlign w:val="bottom"/>
            <w:gridSpan w:val="5"/>
            <w:vMerge w:val="restart"/>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Report on Form 8-K filed on May 3, 2021).</w:t>
              </w:r>
            </w:hyperlink>
          </w:p>
        </w:tc>
        <w:tc>
          <w:tcPr>
            <w:tcW w:w="7120" w:type="dxa"/>
            <w:vAlign w:val="bottom"/>
            <w:gridSpan w:val="1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80" w:type="dxa"/>
            <w:vAlign w:val="bottom"/>
          </w:tcPr>
          <w:p>
            <w:pPr>
              <w:spacing w:after="0"/>
              <w:rPr>
                <w:sz w:val="5"/>
                <w:szCs w:val="5"/>
                <w:color w:val="auto"/>
              </w:rPr>
            </w:pPr>
          </w:p>
        </w:tc>
        <w:tc>
          <w:tcPr>
            <w:tcW w:w="3140" w:type="dxa"/>
            <w:vAlign w:val="bottom"/>
            <w:tcBorders>
              <w:bottom w:val="single" w:sz="8" w:color="0000EE"/>
            </w:tcBorders>
            <w:gridSpan w:val="5"/>
            <w:vMerge w:val="continue"/>
          </w:tcPr>
          <w:p>
            <w:pPr>
              <w:spacing w:after="0"/>
              <w:rPr>
                <w:sz w:val="5"/>
                <w:szCs w:val="5"/>
                <w:color w:val="auto"/>
              </w:rPr>
            </w:pPr>
          </w:p>
        </w:tc>
        <w:tc>
          <w:tcPr>
            <w:tcW w:w="712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3.8</w:t>
            </w:r>
          </w:p>
        </w:tc>
        <w:tc>
          <w:tcPr>
            <w:tcW w:w="10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Amendment to Section 2.5 of the Amended and Restated By-Laws (incorporated by reference to the Company’s Current Report on Form 8-K</w:t>
              </w:r>
            </w:hyperlink>
          </w:p>
        </w:tc>
        <w:tc>
          <w:tcPr>
            <w:tcW w:w="0" w:type="dxa"/>
            <w:vAlign w:val="bottom"/>
          </w:tcPr>
          <w:p>
            <w:pPr>
              <w:spacing w:after="0"/>
              <w:rPr>
                <w:sz w:val="1"/>
                <w:szCs w:val="1"/>
                <w:color w:val="auto"/>
              </w:rPr>
            </w:pPr>
          </w:p>
        </w:tc>
      </w:tr>
      <w:tr>
        <w:trPr>
          <w:trHeight w:val="129"/>
        </w:trPr>
        <w:tc>
          <w:tcPr>
            <w:tcW w:w="980" w:type="dxa"/>
            <w:vAlign w:val="bottom"/>
            <w:vMerge w:val="continue"/>
          </w:tcPr>
          <w:p>
            <w:pPr>
              <w:spacing w:after="0"/>
              <w:rPr>
                <w:sz w:val="11"/>
                <w:szCs w:val="11"/>
                <w:color w:val="auto"/>
              </w:rPr>
            </w:pPr>
          </w:p>
        </w:tc>
        <w:tc>
          <w:tcPr>
            <w:tcW w:w="1760" w:type="dxa"/>
            <w:vAlign w:val="bottom"/>
            <w:gridSpan w:val="3"/>
            <w:vMerge w:val="restart"/>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filed on April 14, 2025).</w:t>
              </w:r>
            </w:hyperlink>
          </w:p>
        </w:tc>
        <w:tc>
          <w:tcPr>
            <w:tcW w:w="8500" w:type="dxa"/>
            <w:vAlign w:val="bottom"/>
            <w:gridSpan w:val="1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980" w:type="dxa"/>
            <w:vAlign w:val="bottom"/>
          </w:tcPr>
          <w:p>
            <w:pPr>
              <w:spacing w:after="0"/>
              <w:rPr>
                <w:sz w:val="5"/>
                <w:szCs w:val="5"/>
                <w:color w:val="auto"/>
              </w:rPr>
            </w:pPr>
          </w:p>
        </w:tc>
        <w:tc>
          <w:tcPr>
            <w:tcW w:w="1760" w:type="dxa"/>
            <w:vAlign w:val="bottom"/>
            <w:tcBorders>
              <w:bottom w:val="single" w:sz="8" w:color="0000EE"/>
            </w:tcBorders>
            <w:gridSpan w:val="3"/>
            <w:vMerge w:val="continue"/>
          </w:tcPr>
          <w:p>
            <w:pPr>
              <w:spacing w:after="0"/>
              <w:rPr>
                <w:sz w:val="5"/>
                <w:szCs w:val="5"/>
                <w:color w:val="auto"/>
              </w:rPr>
            </w:pPr>
          </w:p>
        </w:tc>
        <w:tc>
          <w:tcPr>
            <w:tcW w:w="850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w:t>
            </w:r>
          </w:p>
        </w:tc>
        <w:tc>
          <w:tcPr>
            <w:tcW w:w="10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Description of the Company’s Securities (incorporated by reference to the Registrant’s Quarterly Report on Form 10-Q for the fiscal quarter</w:t>
              </w:r>
            </w:hyperlink>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10260" w:type="dxa"/>
            <w:vAlign w:val="bottom"/>
            <w:gridSpan w:val="20"/>
            <w:vMerge w:val="restart"/>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ended June 30, 2025).</w:t>
              </w:r>
            </w:hyperlink>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1026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260" w:type="dxa"/>
            <w:vAlign w:val="bottom"/>
            <w:gridSpan w:val="20"/>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9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7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260" w:type="dxa"/>
            <w:vAlign w:val="bottom"/>
            <w:gridSpan w:val="20"/>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Wainwright Warrant (incorporated by reference to the Registrant’s Current Report on Form 8-K filed on May 23, 2023)</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260" w:type="dxa"/>
            <w:vAlign w:val="bottom"/>
            <w:gridSpan w:val="20"/>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Wainwright Warrant (incorporated by reference to the Registrant’s Current Report on Form 8-K filed on May 24, 2023)</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89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Form of Series C Warrant (incorporated by reference to the Registrant’s Current Report on Form 8-K filed on June 6, 2023)</w:t>
              </w:r>
            </w:hyperlink>
          </w:p>
        </w:tc>
        <w:tc>
          <w:tcPr>
            <w:tcW w:w="1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9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90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Form of Series D Warrant (incorporated by reference to the Registrant’s Current Report on Form 8-K filed on June 28, 2023)</w:t>
              </w:r>
            </w:hyperlink>
          </w:p>
        </w:tc>
        <w:tc>
          <w:tcPr>
            <w:tcW w:w="1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0260" w:type="dxa"/>
            <w:vAlign w:val="bottom"/>
            <w:gridSpan w:val="2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Wainwright Warrant (incorporated by reference to the Registrant’s Current Report on Form 8-K filed on June 28, 2023)</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260" w:type="dxa"/>
            <w:vAlign w:val="bottom"/>
            <w:gridSpan w:val="20"/>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58">
              <w:r>
                <w:rPr>
                  <w:rFonts w:ascii="Times New Roman" w:cs="Times New Roman" w:eastAsia="Times New Roman" w:hAnsi="Times New Roman"/>
                  <w:sz w:val="18"/>
                  <w:szCs w:val="18"/>
                  <w:color w:val="0000EE"/>
                  <w:w w:val="95"/>
                </w:rPr>
                <w:t>2024)</w:t>
              </w:r>
            </w:hyperlink>
          </w:p>
        </w:tc>
        <w:tc>
          <w:tcPr>
            <w:tcW w:w="1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0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Series F Preferred Investment Option (incorporated by reference to the Registrant’s Current Report on Form 8-K filed on June 4,</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59">
              <w:r>
                <w:rPr>
                  <w:rFonts w:ascii="Times New Roman" w:cs="Times New Roman" w:eastAsia="Times New Roman" w:hAnsi="Times New Roman"/>
                  <w:sz w:val="18"/>
                  <w:szCs w:val="18"/>
                  <w:color w:val="0000EE"/>
                  <w:w w:val="95"/>
                </w:rPr>
                <w:t>2024)</w:t>
              </w:r>
            </w:hyperlink>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0260" w:type="dxa"/>
            <w:vAlign w:val="bottom"/>
            <w:gridSpan w:val="20"/>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Placement Agent Investment Option (incorporated by reference to the Registrant’s Current Report on Form 8-K filed on June 4,</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60">
              <w:r>
                <w:rPr>
                  <w:rFonts w:ascii="Times New Roman" w:cs="Times New Roman" w:eastAsia="Times New Roman" w:hAnsi="Times New Roman"/>
                  <w:sz w:val="18"/>
                  <w:szCs w:val="18"/>
                  <w:color w:val="0000EE"/>
                  <w:w w:val="95"/>
                </w:rPr>
                <w:t>2024)</w:t>
              </w:r>
            </w:hyperlink>
          </w:p>
        </w:tc>
        <w:tc>
          <w:tcPr>
            <w:tcW w:w="1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10260" w:type="dxa"/>
            <w:vAlign w:val="bottom"/>
            <w:gridSpan w:val="20"/>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Form of Series G Preferred Investment Option (incorporated by reference to the Registrant’s Current Report on Form 8-K filed on January 7,</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61">
              <w:r>
                <w:rPr>
                  <w:rFonts w:ascii="Times New Roman" w:cs="Times New Roman" w:eastAsia="Times New Roman" w:hAnsi="Times New Roman"/>
                  <w:sz w:val="18"/>
                  <w:szCs w:val="18"/>
                  <w:color w:val="0000EE"/>
                  <w:w w:val="95"/>
                </w:rPr>
                <w:t>2025)</w:t>
              </w:r>
            </w:hyperlink>
          </w:p>
        </w:tc>
        <w:tc>
          <w:tcPr>
            <w:tcW w:w="1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0260" w:type="dxa"/>
            <w:vAlign w:val="bottom"/>
            <w:gridSpan w:val="20"/>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7,</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62">
              <w:r>
                <w:rPr>
                  <w:rFonts w:ascii="Times New Roman" w:cs="Times New Roman" w:eastAsia="Times New Roman" w:hAnsi="Times New Roman"/>
                  <w:sz w:val="18"/>
                  <w:szCs w:val="18"/>
                  <w:color w:val="0000EE"/>
                  <w:w w:val="95"/>
                </w:rPr>
                <w:t>2025)</w:t>
              </w:r>
            </w:hyperlink>
          </w:p>
        </w:tc>
        <w:tc>
          <w:tcPr>
            <w:tcW w:w="1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0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Form of Series H Preferred Investment Option (incorporated by reference to the Registrant’s Current Report on Form 8-K filed on January 10,</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63">
              <w:r>
                <w:rPr>
                  <w:rFonts w:ascii="Times New Roman" w:cs="Times New Roman" w:eastAsia="Times New Roman" w:hAnsi="Times New Roman"/>
                  <w:sz w:val="18"/>
                  <w:szCs w:val="18"/>
                  <w:color w:val="0000EE"/>
                  <w:w w:val="95"/>
                </w:rPr>
                <w:t>2025)</w:t>
              </w:r>
            </w:hyperlink>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10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10,</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64">
              <w:r>
                <w:rPr>
                  <w:rFonts w:ascii="Times New Roman" w:cs="Times New Roman" w:eastAsia="Times New Roman" w:hAnsi="Times New Roman"/>
                  <w:sz w:val="18"/>
                  <w:szCs w:val="18"/>
                  <w:color w:val="0000EE"/>
                  <w:w w:val="95"/>
                </w:rPr>
                <w:t>2025)</w:t>
              </w:r>
            </w:hyperlink>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0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Form of Series I Preferred Investment Option (incorporated by reference to the Registrant’s Current Report on Form 8-K filed on February 11,</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65">
              <w:r>
                <w:rPr>
                  <w:rFonts w:ascii="Times New Roman" w:cs="Times New Roman" w:eastAsia="Times New Roman" w:hAnsi="Times New Roman"/>
                  <w:sz w:val="18"/>
                  <w:szCs w:val="18"/>
                  <w:color w:val="0000EE"/>
                  <w:w w:val="95"/>
                </w:rPr>
                <w:t>2025)</w:t>
              </w:r>
            </w:hyperlink>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0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Form of Placement Agent Investment Option (incorporated by reference to the Registrant’s Current Report on Form 8-K filed on February 11,</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66">
              <w:r>
                <w:rPr>
                  <w:rFonts w:ascii="Times New Roman" w:cs="Times New Roman" w:eastAsia="Times New Roman" w:hAnsi="Times New Roman"/>
                  <w:sz w:val="18"/>
                  <w:szCs w:val="18"/>
                  <w:color w:val="0000EE"/>
                  <w:w w:val="95"/>
                </w:rPr>
                <w:t>2025)</w:t>
              </w:r>
            </w:hyperlink>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Addendum #3 to Employment Agreement, dated as of February 20, 2026, with Simon Sharon (incorporated by reference to the Registrant’s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Current Report on Form 8-K filed on February 24, 2026)</w:t>
              </w:r>
            </w:hyperlink>
          </w:p>
        </w:tc>
        <w:tc>
          <w:tcPr>
            <w:tcW w:w="61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Addendum #3 to Employment Agreement, dated as of February 20, 2026, with Rachel Vaknin (incorporated by reference to the Registrant’s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Current Report on Form 8-K filed on February 24, 2026)</w:t>
              </w:r>
            </w:hyperlink>
          </w:p>
        </w:tc>
        <w:tc>
          <w:tcPr>
            <w:tcW w:w="61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Amendment #2 to Employment Agreement, dated as of February 20, 2026, with Juan Diaz-Cartelle (incorporated by reference to the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0"/>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Registrant’s Current Report on Form 8-K filed on February 24, 2026)</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2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Harel Gadot, Chairman, President and Chief Executive Officer</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6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w:t>
            </w:r>
          </w:p>
        </w:tc>
        <w:tc>
          <w:tcPr>
            <w:tcW w:w="4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3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2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Harel Gadot, Chairman, President and Chief Executive Officer, pursuant to 18 U.S.C. Section 1350, as adopted pursuant to</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68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2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82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2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0" w:type="dxa"/>
            <w:vAlign w:val="bottom"/>
          </w:tcPr>
          <w:p>
            <w:pPr>
              <w:spacing w:after="0"/>
              <w:rPr>
                <w:sz w:val="1"/>
                <w:szCs w:val="1"/>
                <w:color w:val="auto"/>
              </w:rPr>
            </w:pPr>
          </w:p>
        </w:tc>
      </w:tr>
    </w:tbl>
    <w:p>
      <w:pPr>
        <w:ind w:left="5540" w:right="3720" w:hanging="5532"/>
        <w:spacing w:after="0" w:line="511" w:lineRule="auto"/>
        <w:tabs>
          <w:tab w:leader="none" w:pos="9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this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Rachel Vaknin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March 31, 2026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Harel Gadot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Rachel Vaknin, Chief Financial Officer of Microbot Medical Inc., hereby certify, pursuant to 18 U.S.C. Section 1350, as adopted pursuant to Section 906 of the Sarbanes-Oxley Act of 2002, that to my knowledge, the quarterly report on Form 10-Q for the period ending March 31, 2026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Rachel Vaknin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4" Type="http://schemas.openxmlformats.org/officeDocument/2006/relationships/image" Target="media/image30.png"/><Relationship Id="rId70" Type="http://schemas.openxmlformats.org/officeDocument/2006/relationships/image" Target="media/image31.png"/><Relationship Id="rId71" Type="http://schemas.openxmlformats.org/officeDocument/2006/relationships/image" Target="media/image32.png"/><Relationship Id="rId72" Type="http://schemas.openxmlformats.org/officeDocument/2006/relationships/image" Target="media/image33.png"/><Relationship Id="rId73" Type="http://schemas.openxmlformats.org/officeDocument/2006/relationships/image" Target="media/image34.png"/><Relationship Id="rId74" Type="http://schemas.openxmlformats.org/officeDocument/2006/relationships/image" Target="media/image35.png"/><Relationship Id="rId75" Type="http://schemas.openxmlformats.org/officeDocument/2006/relationships/image" Target="media/image36.png"/><Relationship Id="rId76" Type="http://schemas.openxmlformats.org/officeDocument/2006/relationships/image" Target="media/image37.png"/><Relationship Id="rId77" Type="http://schemas.openxmlformats.org/officeDocument/2006/relationships/image" Target="media/image38.png"/><Relationship Id="rId37" Type="http://schemas.openxmlformats.org/officeDocument/2006/relationships/hyperlink" Target="https://www.sec.gov/Archives/edgar/data/883975/000119312516682077/d161430dex21.htm" TargetMode="External"/><Relationship Id="rId38" Type="http://schemas.openxmlformats.org/officeDocument/2006/relationships/hyperlink" Target="https://www.sec.gov/Archives/edgar/data/883975/000095013407005808/f27726exv3w1.htm" TargetMode="External"/><Relationship Id="rId39" Type="http://schemas.openxmlformats.org/officeDocument/2006/relationships/hyperlink" Target="https://www.sec.gov/Archives/edgar/data/883975/000119312516779597/d296933dex31.htm" TargetMode="External"/><Relationship Id="rId40" Type="http://schemas.openxmlformats.org/officeDocument/2006/relationships/hyperlink" Target="https://www.sec.gov/Archives/edgar/data/883975/000149315218012872/ex3-1.htm" TargetMode="External"/><Relationship Id="rId41" Type="http://schemas.openxmlformats.org/officeDocument/2006/relationships/hyperlink" Target="https://www.sec.gov/Archives/edgar/data/883975/000129993316002374/exhibit1.htm" TargetMode="External"/><Relationship Id="rId42" Type="http://schemas.openxmlformats.org/officeDocument/2006/relationships/hyperlink" Target="https://www.sec.gov/Archives/edgar/data/883975/000149315218017395/ex3-1.htm" TargetMode="External"/><Relationship Id="rId43" Type="http://schemas.openxmlformats.org/officeDocument/2006/relationships/hyperlink" Target="https://www.sec.gov/Archives/edgar/data/883975/000149315219013998/ex3-1.htm" TargetMode="External"/><Relationship Id="rId45" Type="http://schemas.openxmlformats.org/officeDocument/2006/relationships/hyperlink" Target="https://www.sec.gov/Archives/edgar/data/883975/000149315221010347/ex3-1.htm" TargetMode="External"/><Relationship Id="rId46" Type="http://schemas.openxmlformats.org/officeDocument/2006/relationships/hyperlink" Target="https://www.sec.gov/Archives/edgar/data/883975/000164117225004707/ex3-1.htm" TargetMode="External"/><Relationship Id="rId47" Type="http://schemas.openxmlformats.org/officeDocument/2006/relationships/hyperlink" Target="https://www.sec.gov/Archives/edgar/data/883975/000164117225023206/ex4-1.htm" TargetMode="External"/><Relationship Id="rId48" Type="http://schemas.openxmlformats.org/officeDocument/2006/relationships/hyperlink" Target="https://www.sec.gov/Archives/edgar/data/883975/000149315222029541/ex4-2.htm" TargetMode="External"/><Relationship Id="rId49" Type="http://schemas.openxmlformats.org/officeDocument/2006/relationships/hyperlink" Target="https://www.sec.gov/Archives/edgar/data/883975/000149315222029541/ex4-4.htm" TargetMode="External"/><Relationship Id="rId50" Type="http://schemas.openxmlformats.org/officeDocument/2006/relationships/hyperlink" Target="https://www.sec.gov/Archives/edgar/data/883975/000149315223018718/ex4-1.htm" TargetMode="External"/><Relationship Id="rId51" Type="http://schemas.openxmlformats.org/officeDocument/2006/relationships/hyperlink" Target="https://www.sec.gov/Archives/edgar/data/883975/000149315223018932/ex4-2.htm" TargetMode="External"/><Relationship Id="rId52" Type="http://schemas.openxmlformats.org/officeDocument/2006/relationships/hyperlink" Target="https://www.sec.gov/Archives/edgar/data/883975/000149315223018932/ex10-2.htm" TargetMode="External"/><Relationship Id="rId53" Type="http://schemas.openxmlformats.org/officeDocument/2006/relationships/hyperlink" Target="https://www.sec.gov/Archives/edgar/data/883975/000149315223020309/ex4-1.htm" TargetMode="External"/><Relationship Id="rId54" Type="http://schemas.openxmlformats.org/officeDocument/2006/relationships/hyperlink" Target="https://www.sec.gov/Archives/edgar/data/883975/000149315223020309/ex4-2.htm" TargetMode="External"/><Relationship Id="rId55" Type="http://schemas.openxmlformats.org/officeDocument/2006/relationships/hyperlink" Target="https://www.sec.gov/Archives/edgar/data/883975/000149315223022814/ex4-1.htm" TargetMode="External"/><Relationship Id="rId56" Type="http://schemas.openxmlformats.org/officeDocument/2006/relationships/hyperlink" Target="https://www.sec.gov/Archives/edgar/data/883975/000149315223022814/ex4-2.htm" TargetMode="External"/><Relationship Id="rId57" Type="http://schemas.openxmlformats.org/officeDocument/2006/relationships/hyperlink" Target="https://www.sec.gov/Archives/edgar/data/883975/000149315224000109/ex4-1.htm" TargetMode="External"/><Relationship Id="rId58" Type="http://schemas.openxmlformats.org/officeDocument/2006/relationships/hyperlink" Target="https://www.sec.gov/Archives/edgar/data/883975/000149315224000109/ex4-2.htm" TargetMode="External"/><Relationship Id="rId59" Type="http://schemas.openxmlformats.org/officeDocument/2006/relationships/hyperlink" Target="https://www.sec.gov/Archives/edgar/data/883975/000149315224022560/ex4-1.htm" TargetMode="External"/><Relationship Id="rId60" Type="http://schemas.openxmlformats.org/officeDocument/2006/relationships/hyperlink" Target="https://www.sec.gov/Archives/edgar/data/883975/000149315224022560/ex4-2.htm" TargetMode="External"/><Relationship Id="rId61" Type="http://schemas.openxmlformats.org/officeDocument/2006/relationships/hyperlink" Target="https://www.sec.gov/Archives/edgar/data/883975/000149315225001133/ex4-1.htm" TargetMode="External"/><Relationship Id="rId62" Type="http://schemas.openxmlformats.org/officeDocument/2006/relationships/hyperlink" Target="https://www.sec.gov/Archives/edgar/data/883975/000149315225001133/ex4-2.htm" TargetMode="External"/><Relationship Id="rId63" Type="http://schemas.openxmlformats.org/officeDocument/2006/relationships/hyperlink" Target="https://www.sec.gov/Archives/edgar/data/883975/000149315225001559/ex4-1.htm" TargetMode="External"/><Relationship Id="rId64" Type="http://schemas.openxmlformats.org/officeDocument/2006/relationships/hyperlink" Target="https://www.sec.gov/Archives/edgar/data/883975/000149315225001559/ex4-2.htm" TargetMode="External"/><Relationship Id="rId65" Type="http://schemas.openxmlformats.org/officeDocument/2006/relationships/hyperlink" Target="https://www.sec.gov/Archives/edgar/data/883975/000149315225005820/ex4-1.htm" TargetMode="External"/><Relationship Id="rId66" Type="http://schemas.openxmlformats.org/officeDocument/2006/relationships/hyperlink" Target="https://www.sec.gov/Archives/edgar/data/883975/000149315225005820/ex4-2.htm" TargetMode="External"/><Relationship Id="rId67" Type="http://schemas.openxmlformats.org/officeDocument/2006/relationships/hyperlink" Target="https://www.sec.gov/Archives/edgar/data/883975/000149315226007900/ex10-1.htm" TargetMode="External"/><Relationship Id="rId68" Type="http://schemas.openxmlformats.org/officeDocument/2006/relationships/hyperlink" Target="https://www.sec.gov/Archives/edgar/data/883975/000149315226007900/ex10-2.htm" TargetMode="External"/><Relationship Id="rId69" Type="http://schemas.openxmlformats.org/officeDocument/2006/relationships/hyperlink" Target="https://www.sec.gov/Archives/edgar/data/883975/000149315226007900/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2026-05-13T16:27:43Z</dcterms:created>
  <dcterms:modified xsi:type="dcterms:W3CDTF">2026-05-13T16:27:43Z</dcterms:modified>
</cp:coreProperties>
</file>