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 - 102)</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INFORMATION TO BE INCLUDED IN STATEMENTS FILED PURSUANT TO 13d-1(b),</w:t>
      </w:r>
    </w:p>
    <w:p>
      <w:pPr>
        <w:spacing w:after="0" w:line="4" w:lineRule="exact"/>
        <w:rPr>
          <w:sz w:val="24"/>
          <w:szCs w:val="24"/>
          <w:color w:val="auto"/>
        </w:rPr>
      </w:pPr>
    </w:p>
    <w:p>
      <w:pPr>
        <w:ind w:left="3280" w:right="2839" w:hanging="2324"/>
        <w:spacing w:after="0" w:line="470" w:lineRule="auto"/>
        <w:tabs>
          <w:tab w:leader="none" w:pos="138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(d) AND AMENDMENTS THERETO FILED PURSUANT TO 13d-2(b) (Amendment No. 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85857R105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4, 2001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960" w:hanging="952"/>
        <w:spacing w:after="0" w:line="238"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Millennium Partners, L.P.</w:t>
      </w:r>
    </w:p>
    <w:p>
      <w:pPr>
        <w:spacing w:after="0" w:line="201"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900" w:hanging="944"/>
        <w:spacing w:after="0" w:line="238" w:lineRule="auto"/>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Cayman Islands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1900" w:right="7359" w:hanging="1892"/>
        <w:spacing w:after="0" w:line="536" w:lineRule="auto"/>
        <w:tabs>
          <w:tab w:leader="none" w:pos="95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2,427,483</w:t>
      </w: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900" w:right="6939" w:hanging="1892"/>
        <w:spacing w:after="0" w:line="536" w:lineRule="auto"/>
        <w:tabs>
          <w:tab w:leader="none" w:pos="95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2,427,483</w:t>
      </w:r>
    </w:p>
    <w:p>
      <w:pPr>
        <w:ind w:left="1900" w:right="6739" w:hanging="1892"/>
        <w:spacing w:after="0" w:line="470" w:lineRule="auto"/>
        <w:tabs>
          <w:tab w:leader="none" w:pos="9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8"/>
          <w:szCs w:val="18"/>
          <w:color w:val="auto"/>
        </w:rPr>
        <w:t>2,427,483</w:t>
      </w:r>
    </w:p>
    <w:p>
      <w:pPr>
        <w:spacing w:after="0" w:line="201"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ind w:left="960"/>
        <w:spacing w:after="0"/>
        <w:tabs>
          <w:tab w:leader="none" w:pos="37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[x]</w:t>
      </w:r>
    </w:p>
    <w:p>
      <w:pPr>
        <w:spacing w:after="0" w:line="207" w:lineRule="exact"/>
        <w:rPr>
          <w:sz w:val="20"/>
          <w:szCs w:val="20"/>
          <w:color w:val="auto"/>
        </w:rPr>
      </w:pPr>
    </w:p>
    <w:p>
      <w:pPr>
        <w:ind w:left="1900" w:right="4099" w:hanging="1892"/>
        <w:spacing w:after="0" w:line="470" w:lineRule="auto"/>
        <w:tabs>
          <w:tab w:leader="none" w:pos="95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9.99%</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PN</w:t>
      </w:r>
    </w:p>
    <w:p>
      <w:pPr>
        <w:spacing w:after="0" w:line="201"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statement is filed pursuant to Rule 13d-2(d) with respect to the shares of common stock (the "Common Stock") of StemCells, Inc. (the "Issuer") beneficially owned by Millennium Partners, L.P. as of December 6, 2001 and amends and supplements the Schedule 13G dated September 11, 2000, as previously amended (the "Schedule 13G"), previously filed by the reporting person in connection with its beneficial ownership of shares of Common Stock. Except as set forth herein, the Schedule 13G is unmodified.</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2000" w:hanging="939"/>
        <w:spacing w:after="0"/>
        <w:tabs>
          <w:tab w:leader="none" w:pos="20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200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Ownership Limitation (defined below), the reporting person owns or has the right to acquire: (i) 1,598,353 shares of Common Stock held outright; (ii) 577,330 shares of Common Stock currently issuable to the reporting person upon the exercise of warrants; and (iii) 2,000,000 shares of Common Stock currently issuable to the reporting person upon the conversion of shares of the Company's 3% Cumulative Convertible Preferred Stock (the "Preferred Stock").</w:t>
      </w:r>
    </w:p>
    <w:p>
      <w:pPr>
        <w:spacing w:after="0" w:line="213" w:lineRule="exact"/>
        <w:rPr>
          <w:rFonts w:ascii="Courier New" w:cs="Courier New" w:eastAsia="Courier New" w:hAnsi="Courier New"/>
          <w:sz w:val="18"/>
          <w:szCs w:val="18"/>
          <w:color w:val="auto"/>
        </w:rPr>
      </w:pPr>
    </w:p>
    <w:p>
      <w:pPr>
        <w:ind w:left="2000"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Rule 13d-4 under the Securities Exchange Act of 1934, as amended, because the number of shares of Common Stock into which the reporting person's warrants and shares of Preferred Stock are exercisable or convertible, as applicable, are limited, pursuant to the terms of the warrants and certificate of designations covering the Preferred Stock, to that number of shares of Common Stock which would result in the reporting person having aggregate beneficial ownership of 9.99% of the total issued and outstanding shares of Common Stock (the "Ownership Limitation"), the reporting person disclaims beneficial ownership of any and all shares of Common Stock that would cause the reporting person's aggregate beneficial ownership to exceed the Ownership Limitation.</w:t>
      </w:r>
    </w:p>
    <w:p>
      <w:pPr>
        <w:spacing w:after="0" w:line="207" w:lineRule="exact"/>
        <w:rPr>
          <w:rFonts w:ascii="Courier New" w:cs="Courier New" w:eastAsia="Courier New" w:hAnsi="Courier New"/>
          <w:sz w:val="18"/>
          <w:szCs w:val="18"/>
          <w:color w:val="auto"/>
        </w:rPr>
      </w:pPr>
    </w:p>
    <w:p>
      <w:pPr>
        <w:ind w:left="200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Therefore, in accordance with the Ownership Limitation, the reporting person, based upon 23,470,000 shares of common stock outstanding, beneficially owns an aggregate of 2,427,483 shares of Common Stock, and disclaims beneficial ownership of 1,748,200 shares of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2000" w:hanging="939"/>
        <w:spacing w:after="0"/>
        <w:tabs>
          <w:tab w:leader="none" w:pos="20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9.99%</w:t>
      </w:r>
    </w:p>
    <w:p>
      <w:pPr>
        <w:spacing w:after="0" w:line="201" w:lineRule="exact"/>
        <w:rPr>
          <w:rFonts w:ascii="Courier New" w:cs="Courier New" w:eastAsia="Courier New" w:hAnsi="Courier New"/>
          <w:sz w:val="18"/>
          <w:szCs w:val="18"/>
          <w:color w:val="auto"/>
        </w:rPr>
      </w:pPr>
    </w:p>
    <w:p>
      <w:pPr>
        <w:ind w:left="2000" w:hanging="939"/>
        <w:spacing w:after="0"/>
        <w:tabs>
          <w:tab w:leader="none" w:pos="20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 Sole power to vote or to direct the vote: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2,427,483 shares of Common Stock.</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(ii) Shared power to vote or to direct the vote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2,427,483 shares of Common Stock.</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(iv) Shared power to dispose or to direct</w:t>
      </w:r>
    </w:p>
    <w:p>
      <w:pPr>
        <w:ind w:left="1900"/>
        <w:spacing w:after="0" w:line="238" w:lineRule="auto"/>
        <w:rPr>
          <w:sz w:val="20"/>
          <w:szCs w:val="20"/>
          <w:color w:val="auto"/>
        </w:rPr>
      </w:pPr>
      <w:r>
        <w:rPr>
          <w:rFonts w:ascii="Courier New" w:cs="Courier New" w:eastAsia="Courier New" w:hAnsi="Courier New"/>
          <w:sz w:val="18"/>
          <w:szCs w:val="18"/>
          <w:color w:val="auto"/>
        </w:rPr>
        <w:t>the disposition of</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1">
            <w:col w:w="10219"/>
          </w:cols>
          <w:pgMar w:left="240" w:top="1330"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7. Identification and Classification of the Subsidiary Which Acquired the Security Being Reported on by the Parent Holding Company or Control Person.</w:t>
      </w:r>
    </w:p>
    <w:p>
      <w:pPr>
        <w:sectPr>
          <w:pgSz w:w="11900" w:h="16838" w:orient="portrait"/>
          <w:cols w:equalWidth="0" w:num="2">
            <w:col w:w="1180" w:space="720"/>
            <w:col w:w="8319"/>
          </w:cols>
          <w:pgMar w:left="240" w:top="1330" w:right="1440" w:bottom="0" w:gutter="0" w:footer="0" w:header="0"/>
          <w:type w:val="continuous"/>
        </w:sectPr>
      </w:pPr>
    </w:p>
    <w:bookmarkStart w:id="3" w:name="page4"/>
    <w:bookmarkEnd w:id="3"/>
    <w:p>
      <w:pPr>
        <w:ind w:left="960" w:right="1879"/>
        <w:spacing w:after="0" w:line="237" w:lineRule="auto"/>
        <w:rPr>
          <w:sz w:val="20"/>
          <w:szCs w:val="20"/>
          <w:color w:val="auto"/>
        </w:rPr>
      </w:pPr>
      <w:r>
        <w:rPr>
          <w:rFonts w:ascii="Courier New" w:cs="Courier New" w:eastAsia="Courier New" w:hAnsi="Courier New"/>
          <w:sz w:val="18"/>
          <w:szCs w:val="18"/>
          <w:color w:val="auto"/>
        </w:rPr>
        <w:t>The following securities referred to in the first paragraph of Item 4(a) above are held by Riverview Group, L.L.C., a Delaware limited liability company, which is a wholly-owned subsidiary of the reporting person: (a) 500,125 of the shares of Common Stock, (b) warrants exercisable into 350,877 shares of Common Stock, and (c) the shares of the Preferred Stock.</w:t>
      </w: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42"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6, 2001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MILLENNIUM PARTNERS, L.P.</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Terry Feeney</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Terry Feeney</w:t>
      </w:r>
    </w:p>
    <w:p>
      <w:pPr>
        <w:ind w:left="3800"/>
        <w:spacing w:after="0" w:line="237" w:lineRule="auto"/>
        <w:rPr>
          <w:sz w:val="20"/>
          <w:szCs w:val="20"/>
          <w:color w:val="auto"/>
        </w:rPr>
      </w:pPr>
      <w:r>
        <w:rPr>
          <w:rFonts w:ascii="Courier New" w:cs="Courier New" w:eastAsia="Courier New" w:hAnsi="Courier New"/>
          <w:sz w:val="18"/>
          <w:szCs w:val="18"/>
          <w:color w:val="auto"/>
        </w:rPr>
        <w:t>Title: Chief Operating Officer</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3"/>
    </w:lvl>
  </w:abstractNum>
  <w:abstractNum w:abstractNumId="1">
    <w:nsid w:val="46E87CCD"/>
    <w:multiLevelType w:val="hybridMultilevel"/>
    <w:lvl w:ilvl="0">
      <w:lvlJc w:val="left"/>
      <w:lvlText w:val="[%1]"/>
      <w:numFmt w:val="lowerRoman"/>
      <w:start w:val="10"/>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lvl w:ilvl="1">
      <w:lvlJc w:val="left"/>
      <w:lvlText w:val="(%2)"/>
      <w:numFmt w:val="lowerLetter"/>
      <w:start w:val="1"/>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2019-12-13T21:52:44Z</dcterms:created>
  <dcterms:modified xsi:type="dcterms:W3CDTF">2019-12-13T21:52:44Z</dcterms:modified>
</cp:coreProperties>
</file>