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5, 2023, Microbot Medical Inc. (the “Company”) issued a press release announcing that has received the histopathology report from the European-based MedTech research laboratory that performed the animal study for the Company’s LIBERTY Robotic System in October 2022 (the “Animal Study”).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Animal Study, the physicians conducted 63 navigations to the targeted sites using the investigational LIBERTY Robotic System and performed an equal number of procedures manually. The LIBERTY Robotic System received overwhelmingly positive feedback from participating physicians, and there were no observable immediate intraoperative adverse events, or harm, to the test subjects.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new data from the report,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results of the Animal Study allow it to move forward and focus on the next phases to ultimately include a U.S.-based pivotal pre-clinical study.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together with its regulatory experts and consultants, believe a larger sample size and robust data generated by this study will advance the Company’s efforts towards the submission of Investigational Device Exemption (IDE) with the U.S. Food and Drug Administration (FDA).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3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8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3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May 5, 2023</w:t>
            </w:r>
          </w:p>
        </w:tc>
        <w:tc>
          <w:tcPr>
            <w:tcW w:w="776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156845</wp:posOffset>
            </wp:positionV>
            <wp:extent cx="3017520" cy="1165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1752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Final Data From Its Recent Animal Study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Data supports next regulatory steps for the LIBERTY Robotic System</w:t>
      </w:r>
    </w:p>
    <w:p>
      <w:pPr>
        <w:spacing w:after="0" w:line="23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HINGHAM, Mass., May 5, 2023 </w:t>
      </w:r>
      <w:r>
        <w:rPr>
          <w:rFonts w:ascii="Times New Roman" w:cs="Times New Roman" w:eastAsia="Times New Roman" w:hAnsi="Times New Roman"/>
          <w:sz w:val="18"/>
          <w:szCs w:val="18"/>
          <w:color w:val="auto"/>
        </w:rPr>
        <w:t>– Microbot Medical Inc. (Nasdaq: MBOT), the developer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the first single-use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 has received the histopathology report from the European-based MedTech research laboratory that performed the animal study for the LIBERTY Robotic System in October 2022.</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animal study, the physicians conducted 63 navigations to the targeted sites using the investigational LIBERTY Robotic System and performed an equal number of procedures manually. The LIBERTY Robotic System received overwhelmingly positive feedback from participating physicians, and there were no observable immediate intraoperative adverse events, or harm, to the test subjects.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new data from the report,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results of the study allow it to move forward and focus on the next phases to ultimately include a U.S.-based pivotal pre-clinical study.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together with its regulatory experts and consultants, believe a larger sample size and robust data generated by this study will advance the company’s efforts towards the submission of Investigational Device Exemption (IDE) with U.S. Food and Drug Administration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2265680</wp:posOffset>
            </wp:positionH>
            <wp:positionV relativeFrom="page">
              <wp:posOffset>448945</wp:posOffset>
            </wp:positionV>
            <wp:extent cx="3017520" cy="1165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01752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 technologies, the outcome of its studies to evaluate LIBERTY, the One &amp; Done™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2023-05-05T08:22:33Z</dcterms:created>
  <dcterms:modified xsi:type="dcterms:W3CDTF">2023-05-05T08:22:33Z</dcterms:modified>
</cp:coreProperties>
</file>