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29,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ind w:left="2140"/>
              <w:spacing w:after="0"/>
              <w:rPr>
                <w:sz w:val="20"/>
                <w:szCs w:val="20"/>
                <w:color w:val="auto"/>
              </w:rPr>
            </w:pPr>
            <w:r>
              <w:rPr>
                <w:rFonts w:ascii="Arial" w:cs="Arial" w:eastAsia="Arial" w:hAnsi="Arial"/>
                <w:sz w:val="18"/>
                <w:szCs w:val="18"/>
                <w:b w:val="1"/>
                <w:bCs w:val="1"/>
                <w:color w:val="auto"/>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Braintree, MA 02184</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August 29, 2023, Eyal Morag, the Company’s Chief Medical Officer, resigned from his position with the Company, effective November 29, 2023.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5.08 Shareholder Director Nominations.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Microbot Medical Inc. (the “Company”) currently intends to hold its annual meeting of stockholders on November 2, 2023 (the “2023 Annual Meeting”).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exact time and location of the 2023 Annual Meeting will be specified in the Company’s proxy statement for the 2023 Annual Meeting.</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Because the Company’s 2023 Annual Meeting has been changed by more than 30 calendar days from the date of the previous year’s meeting, the Company is affirming the deadline for receipt of qualified stockholder proposals submitted pursuant to Rule 14a-8 of the Securities Exchange Act of 1934, as amended (the “Exchange Act”), for inclusion in the Company’s proxy materials for the 2023 Annual Meeting.</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deadline for the receipt of any qualified stockholder proposals submitted pursuant to Rule 14a-8 under the Exchange Act shall be not later than the close of business on September 22, 2023. In addition, the Board of Directors (the “Board”) also established that any qualified stockholder seeking to have a nominee to the Board to be included in the Company’s proxy materials for the 2023 Annual Meeting must provide notice to the Company of its intent to do so on a Schedule 14N and file that notice with the Securities and Exchange Commission (the “SEC”) on or before September 22, 2023.</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Qualified stockholder proposals must be received by the Company at its principal executive offices located at 288 Grove Street, Suite 388, Braintree, MA 02184 addressed to the Secretary of the Company. All proposals must comply with applicable Delaware law, the rules and regulations promulgated by the SEC and the procedures set forth in the Company’s Amended and Restated Bylaws.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resignation of Dr. Morag and the transition of the Company from one focused primarily on research &amp; development to one focused on clinical trials and commercialization, the Company has determined that it would be beneficial for it to replace Dr. Morag in the Chief Medical Officer role with someone based in the United States and with skill sets that the Company believes will optimize the Company’s transitioning focus. Accordingly, the Company is in advanced discussions with a potential replacement Chief Medical Officer, and hopes to make an announcement relating to the replacement by the end of September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Statements Regarding 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Current Report on Form 8-K includes “forward-looking statements” within the meaning of the safe harbor provisions of the United States Private Securities Litigation Reform Act of 1995. Certain of these forward-looking statements can be identified by the use of words such as “believes,” “expects,” “intends,” “plans,” “estimates,” “assumes,” “may,” “should,” “will,” “seeks,” or other similar expressions. These forward-looking statements involve significant risks and uncertainties that could cause the actual results to differ materially from the expected results, including those under “Risk Factors” in the Company’s Annual Report on Form 10-K for the fiscal year ended December 31, 2022 and Quarterly Report on Form 10-Q for the fiscal quarter ended June 30, 2023. Most of these factors are outside the Company’s control and are difficult to predict.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2023-09-05T16:25:47Z</dcterms:created>
  <dcterms:modified xsi:type="dcterms:W3CDTF">2023-09-05T16:25:47Z</dcterms:modified>
</cp:coreProperties>
</file>