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7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6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10-Q</w:t>
      </w:r>
    </w:p>
    <w:p>
      <w:pPr>
        <w:spacing w:after="0" w:line="200" w:lineRule="exact"/>
        <w:rPr>
          <w:sz w:val="24"/>
          <w:szCs w:val="24"/>
          <w:color w:val="auto"/>
        </w:rPr>
      </w:pPr>
    </w:p>
    <w:p>
      <w:pPr>
        <w:spacing w:after="0" w:line="364"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5" w:lineRule="exact"/>
        <w:rPr>
          <w:sz w:val="24"/>
          <w:szCs w:val="24"/>
          <w:color w:val="auto"/>
        </w:rPr>
      </w:pPr>
    </w:p>
    <w:p>
      <w:pPr>
        <w:ind w:left="388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ectPr>
          <w:pgSz w:w="11900" w:h="16838" w:orient="portrait"/>
          <w:cols w:equalWidth="0" w:num="1">
            <w:col w:w="10219"/>
          </w:cols>
          <w:pgMar w:left="240" w:top="614" w:right="1440" w:bottom="1440" w:gutter="0" w:footer="0" w:header="0"/>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30,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0-19871</w:t>
      </w:r>
    </w:p>
    <w:p>
      <w:pPr>
        <w:spacing w:after="0" w:line="200" w:lineRule="exact"/>
        <w:rPr>
          <w:sz w:val="24"/>
          <w:szCs w:val="24"/>
          <w:color w:val="auto"/>
        </w:rPr>
      </w:pPr>
    </w:p>
    <w:p>
      <w:pPr>
        <w:sectPr>
          <w:pgSz w:w="11900" w:h="16838" w:orient="portrait"/>
          <w:cols w:equalWidth="0" w:num="3">
            <w:col w:w="3540" w:space="720"/>
            <w:col w:w="2240" w:space="380"/>
            <w:col w:w="3339"/>
          </w:cols>
          <w:pgMar w:left="240" w:top="614" w:right="1440" w:bottom="1440" w:gutter="0" w:footer="0" w:header="0"/>
          <w:type w:val="continuous"/>
        </w:sectPr>
      </w:pPr>
    </w:p>
    <w:p>
      <w:pPr>
        <w:spacing w:after="0" w:line="364"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STEMCELLS, INC.</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14" w:right="1440" w:bottom="1440" w:gutter="0" w:footer="0" w:header="0"/>
          <w:type w:val="continuous"/>
        </w:sectPr>
      </w:pPr>
    </w:p>
    <w:p>
      <w:pPr>
        <w:spacing w:after="0" w:line="19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94-3078125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5200" w:space="720"/>
            <w:col w:w="4299"/>
          </w:cols>
          <w:pgMar w:left="240" w:top="614" w:right="1440" w:bottom="1440" w:gutter="0" w:footer="0" w:header="0"/>
          <w:type w:val="continuous"/>
        </w:sectPr>
      </w:pPr>
    </w:p>
    <w:p>
      <w:pPr>
        <w:jc w:val="center"/>
        <w:ind w:right="2359"/>
        <w:spacing w:after="0"/>
        <w:rPr>
          <w:sz w:val="20"/>
          <w:szCs w:val="20"/>
          <w:color w:val="auto"/>
        </w:rPr>
      </w:pPr>
      <w:r>
        <w:rPr>
          <w:rFonts w:ascii="Courier New" w:cs="Courier New" w:eastAsia="Courier New" w:hAnsi="Courier New"/>
          <w:sz w:val="16"/>
          <w:szCs w:val="16"/>
          <w:color w:val="auto"/>
        </w:rPr>
        <w:t>3155 PORTER DRIVE</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PALO ALTO, CA 94304</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364"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(650) 475-3100</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4"/>
          <w:szCs w:val="24"/>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85"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6"/>
          <w:szCs w:val="16"/>
          <w:color w:val="auto"/>
        </w:rPr>
        <w:t>No | |</w:t>
      </w:r>
    </w:p>
    <w:p>
      <w:pPr>
        <w:spacing w:after="0" w:line="191" w:lineRule="exact"/>
        <w:rPr>
          <w:sz w:val="24"/>
          <w:szCs w:val="24"/>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At July 29, 2002 there were 24,729,412 shares of Common Stock, $.01 par value, issued and outstanding.</w:t>
      </w:r>
    </w:p>
    <w:p>
      <w:pPr>
        <w:sectPr>
          <w:pgSz w:w="11900" w:h="16838" w:orient="portrait"/>
          <w:cols w:equalWidth="0" w:num="1">
            <w:col w:w="10219"/>
          </w:cols>
          <w:pgMar w:left="240" w:top="614" w:right="1440" w:bottom="1440" w:gutter="0" w:footer="0" w:header="0"/>
          <w:type w:val="continuous"/>
        </w:sectPr>
      </w:pPr>
    </w:p>
    <w:bookmarkStart w:id="1" w:name="page2"/>
    <w:bookmarkEnd w:id="1"/>
    <w:p>
      <w:pPr>
        <w:jc w:val="center"/>
        <w:ind w:right="2379"/>
        <w:spacing w:after="0"/>
        <w:rPr>
          <w:sz w:val="20"/>
          <w:szCs w:val="20"/>
          <w:color w:val="auto"/>
        </w:rPr>
      </w:pPr>
      <w:r>
        <w:rPr>
          <w:rFonts w:ascii="Courier New" w:cs="Courier New" w:eastAsia="Courier New" w:hAnsi="Courier New"/>
          <w:sz w:val="16"/>
          <w:szCs w:val="16"/>
          <w:color w:val="auto"/>
        </w:rPr>
        <w:t>STEMCELLS, INC.</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FINANCIAL INFORMATION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Page Number</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Financial Statements (Unaudited)</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w:t>
            </w:r>
          </w:p>
        </w:tc>
      </w:tr>
      <w:tr>
        <w:trPr>
          <w:trHeight w:val="373"/>
        </w:trPr>
        <w:tc>
          <w:tcPr>
            <w:tcW w:w="820" w:type="dxa"/>
            <w:vAlign w:val="bottom"/>
          </w:tcPr>
          <w:p>
            <w:pPr>
              <w:spacing w:after="0"/>
              <w:rPr>
                <w:sz w:val="24"/>
                <w:szCs w:val="24"/>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Condensed Consolidated Balance Sheets June 30, 2002 and December 31,</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w:t>
            </w:r>
          </w:p>
        </w:tc>
      </w:tr>
      <w:tr>
        <w:trPr>
          <w:trHeight w:val="186"/>
        </w:trPr>
        <w:tc>
          <w:tcPr>
            <w:tcW w:w="820" w:type="dxa"/>
            <w:vAlign w:val="bottom"/>
          </w:tcPr>
          <w:p>
            <w:pPr>
              <w:spacing w:after="0"/>
              <w:rPr>
                <w:sz w:val="16"/>
                <w:szCs w:val="16"/>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1540" w:type="dxa"/>
            <w:vAlign w:val="bottom"/>
          </w:tcPr>
          <w:p>
            <w:pPr>
              <w:spacing w:after="0"/>
              <w:rPr>
                <w:sz w:val="16"/>
                <w:szCs w:val="16"/>
                <w:color w:val="auto"/>
              </w:rPr>
            </w:pPr>
          </w:p>
        </w:tc>
      </w:tr>
      <w:tr>
        <w:trPr>
          <w:trHeight w:val="373"/>
        </w:trPr>
        <w:tc>
          <w:tcPr>
            <w:tcW w:w="820" w:type="dxa"/>
            <w:vAlign w:val="bottom"/>
          </w:tcPr>
          <w:p>
            <w:pPr>
              <w:spacing w:after="0"/>
              <w:rPr>
                <w:sz w:val="24"/>
                <w:szCs w:val="24"/>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Condensed Consolidated Statements of Operations six months ended June</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w:t>
            </w:r>
          </w:p>
        </w:tc>
      </w:tr>
      <w:tr>
        <w:trPr>
          <w:trHeight w:val="186"/>
        </w:trPr>
        <w:tc>
          <w:tcPr>
            <w:tcW w:w="820" w:type="dxa"/>
            <w:vAlign w:val="bottom"/>
          </w:tcPr>
          <w:p>
            <w:pPr>
              <w:spacing w:after="0"/>
              <w:rPr>
                <w:sz w:val="16"/>
                <w:szCs w:val="16"/>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30, 2002 and 2001</w:t>
            </w:r>
          </w:p>
        </w:tc>
        <w:tc>
          <w:tcPr>
            <w:tcW w:w="1540" w:type="dxa"/>
            <w:vAlign w:val="bottom"/>
          </w:tcPr>
          <w:p>
            <w:pPr>
              <w:spacing w:after="0"/>
              <w:rPr>
                <w:sz w:val="16"/>
                <w:szCs w:val="16"/>
                <w:color w:val="auto"/>
              </w:rPr>
            </w:pPr>
          </w:p>
        </w:tc>
      </w:tr>
      <w:tr>
        <w:trPr>
          <w:trHeight w:val="373"/>
        </w:trPr>
        <w:tc>
          <w:tcPr>
            <w:tcW w:w="820" w:type="dxa"/>
            <w:vAlign w:val="bottom"/>
          </w:tcPr>
          <w:p>
            <w:pPr>
              <w:spacing w:after="0"/>
              <w:rPr>
                <w:sz w:val="24"/>
                <w:szCs w:val="24"/>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Condensed Consolidated Statements of Cash Flows six months ended June</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r>
      <w:tr>
        <w:trPr>
          <w:trHeight w:val="186"/>
        </w:trPr>
        <w:tc>
          <w:tcPr>
            <w:tcW w:w="820" w:type="dxa"/>
            <w:vAlign w:val="bottom"/>
          </w:tcPr>
          <w:p>
            <w:pPr>
              <w:spacing w:after="0"/>
              <w:rPr>
                <w:sz w:val="16"/>
                <w:szCs w:val="16"/>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30, 2002 and 2001</w:t>
            </w:r>
          </w:p>
        </w:tc>
        <w:tc>
          <w:tcPr>
            <w:tcW w:w="1540" w:type="dxa"/>
            <w:vAlign w:val="bottom"/>
          </w:tcPr>
          <w:p>
            <w:pPr>
              <w:spacing w:after="0"/>
              <w:rPr>
                <w:sz w:val="16"/>
                <w:szCs w:val="16"/>
                <w:color w:val="auto"/>
              </w:rPr>
            </w:pPr>
          </w:p>
        </w:tc>
      </w:tr>
      <w:tr>
        <w:trPr>
          <w:trHeight w:val="373"/>
        </w:trPr>
        <w:tc>
          <w:tcPr>
            <w:tcW w:w="820" w:type="dxa"/>
            <w:vAlign w:val="bottom"/>
          </w:tcPr>
          <w:p>
            <w:pPr>
              <w:spacing w:after="0"/>
              <w:rPr>
                <w:sz w:val="24"/>
                <w:szCs w:val="24"/>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w:t>
            </w:r>
          </w:p>
        </w:tc>
      </w:tr>
      <w:tr>
        <w:trPr>
          <w:trHeight w:val="186"/>
        </w:trPr>
        <w:tc>
          <w:tcPr>
            <w:tcW w:w="820" w:type="dxa"/>
            <w:vAlign w:val="bottom"/>
          </w:tcPr>
          <w:p>
            <w:pPr>
              <w:spacing w:after="0"/>
              <w:rPr>
                <w:sz w:val="16"/>
                <w:szCs w:val="16"/>
                <w:color w:val="auto"/>
              </w:rPr>
            </w:pP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of Operations</w:t>
            </w:r>
          </w:p>
        </w:tc>
        <w:tc>
          <w:tcPr>
            <w:tcW w:w="1540" w:type="dxa"/>
            <w:vAlign w:val="bottom"/>
          </w:tcPr>
          <w:p>
            <w:pPr>
              <w:spacing w:after="0"/>
              <w:rPr>
                <w:sz w:val="16"/>
                <w:szCs w:val="16"/>
                <w:color w:val="auto"/>
              </w:rPr>
            </w:pP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OTHER INFORMATION</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Legal Proceedings</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Submission of Matters to a Vote of Security-Holders</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7420" w:type="dxa"/>
            <w:vAlign w:val="bottom"/>
          </w:tcPr>
          <w:p>
            <w:pPr>
              <w:ind w:left="60"/>
              <w:spacing w:after="0"/>
              <w:rPr>
                <w:sz w:val="20"/>
                <w:szCs w:val="20"/>
                <w:color w:val="auto"/>
              </w:rPr>
            </w:pPr>
            <w:r>
              <w:rPr>
                <w:rFonts w:ascii="Courier New" w:cs="Courier New" w:eastAsia="Courier New" w:hAnsi="Courier New"/>
                <w:sz w:val="16"/>
                <w:szCs w:val="16"/>
                <w:color w:val="auto"/>
              </w:rPr>
              <w:t>Exhibits and Reports on Form 8-K</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r>
      <w:tr>
        <w:trPr>
          <w:trHeight w:val="373"/>
        </w:trPr>
        <w:tc>
          <w:tcPr>
            <w:tcW w:w="824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w:t>
            </w:r>
          </w:p>
        </w:tc>
      </w:tr>
      <w:tr>
        <w:trPr>
          <w:trHeight w:val="932"/>
        </w:trPr>
        <w:tc>
          <w:tcPr>
            <w:tcW w:w="820" w:type="dxa"/>
            <w:vAlign w:val="bottom"/>
          </w:tcPr>
          <w:p>
            <w:pPr>
              <w:spacing w:after="0"/>
              <w:rPr>
                <w:sz w:val="24"/>
                <w:szCs w:val="24"/>
                <w:color w:val="auto"/>
              </w:rPr>
            </w:pPr>
          </w:p>
        </w:tc>
        <w:tc>
          <w:tcPr>
            <w:tcW w:w="7420" w:type="dxa"/>
            <w:vAlign w:val="bottom"/>
          </w:tcPr>
          <w:p>
            <w:pPr>
              <w:ind w:left="2960"/>
              <w:spacing w:after="0"/>
              <w:rPr>
                <w:sz w:val="20"/>
                <w:szCs w:val="20"/>
                <w:color w:val="auto"/>
              </w:rPr>
            </w:pPr>
            <w:r>
              <w:rPr>
                <w:rFonts w:ascii="Courier New" w:cs="Courier New" w:eastAsia="Courier New" w:hAnsi="Courier New"/>
                <w:sz w:val="16"/>
                <w:szCs w:val="16"/>
                <w:color w:val="auto"/>
              </w:rPr>
              <w:t>2</w:t>
            </w:r>
          </w:p>
        </w:tc>
        <w:tc>
          <w:tcPr>
            <w:tcW w:w="154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June 30, 2002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December 31, 2001</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(unaudited)</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r>
      <w:tr>
        <w:trPr>
          <w:trHeight w:val="373"/>
        </w:trPr>
        <w:tc>
          <w:tcPr>
            <w:tcW w:w="7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$ 7,782,229</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$ 13,697,195</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Other receivable</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37,079</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4,638</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Facilities receivable</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288,425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49,590</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Other current assets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126,356</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361,636</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8,234,089</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14,113,059</w:t>
            </w:r>
          </w:p>
        </w:tc>
      </w:tr>
      <w:tr>
        <w:trPr>
          <w:trHeight w:val="373"/>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Property held for sale</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3,203,491</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3,203,491</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Property, plant and equipment, net</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1,182,295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1,219,319</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Other assets, net</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2,635,972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2,267,207</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$15,255,847</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$20,803,076</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Liabilities, redeemable convertible preferred stock, and stockholders' equity</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$ 291,563</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$ 578,270</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Accrued expenses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852,460</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499,165</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Advances - unearned rent</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28,875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234,167</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289,167</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1,407,065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1,366,602</w:t>
            </w:r>
          </w:p>
        </w:tc>
      </w:tr>
      <w:tr>
        <w:trPr>
          <w:trHeight w:val="373"/>
        </w:trPr>
        <w:tc>
          <w:tcPr>
            <w:tcW w:w="766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2,203,333</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2,315,833</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180,896</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129,897</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1,761,409</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1,120,005</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5,552,703</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4,932,337</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Redeemable Convertible Preferred Stock,  $0.01 par value; 1,000,000</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shares authorized issuable in series:</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3% Cumulative Convertible Preferred Stock, 5000 shares issued and 4,000</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shares outstanding at June 30, 2002 and December 31, 2001 (aggregate</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liquidation preference of $5,000,000)</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6% Cumulative Convertible Preferred Stock, 2,626 designated as 6%,</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2,019,684</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1,379,682</w:t>
            </w: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1,500 shares issued and 750 shares outstanding at June 30, 2002</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and December 31, 2001(aggregate liquidation preference of $750,000)</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641,625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1,283,250</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value; 75,000,000 shares authorized; 24,238,808 and</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24,220,021 shares issued and outstanding at June</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380"/>
              <w:spacing w:after="0"/>
              <w:rPr>
                <w:sz w:val="20"/>
                <w:szCs w:val="20"/>
                <w:color w:val="auto"/>
              </w:rPr>
            </w:pPr>
            <w:r>
              <w:rPr>
                <w:rFonts w:ascii="Courier New" w:cs="Courier New" w:eastAsia="Courier New" w:hAnsi="Courier New"/>
                <w:sz w:val="16"/>
                <w:szCs w:val="16"/>
                <w:color w:val="auto"/>
              </w:rPr>
              <w:t>30, 2002 and December 31, 2001, respectively</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246,915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242,200</w:t>
            </w:r>
          </w:p>
        </w:tc>
      </w:tr>
      <w:tr>
        <w:trPr>
          <w:trHeight w:val="186"/>
        </w:trPr>
        <w:tc>
          <w:tcPr>
            <w:tcW w:w="766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 in capital</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147,998,873</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149,180,388</w:t>
            </w:r>
          </w:p>
        </w:tc>
      </w:tr>
      <w:tr>
        <w:trPr>
          <w:trHeight w:val="186"/>
        </w:trPr>
        <w:tc>
          <w:tcPr>
            <w:tcW w:w="7660" w:type="dxa"/>
            <w:vAlign w:val="bottom"/>
          </w:tcPr>
          <w:p>
            <w:pPr>
              <w:ind w:left="200"/>
              <w:spacing w:after="0"/>
              <w:rPr>
                <w:sz w:val="20"/>
                <w:szCs w:val="20"/>
                <w:color w:val="auto"/>
              </w:rPr>
            </w:pPr>
            <w:r>
              <w:rPr>
                <w:rFonts w:ascii="Courier New" w:cs="Courier New" w:eastAsia="Courier New" w:hAnsi="Courier New"/>
                <w:sz w:val="16"/>
                <w:szCs w:val="16"/>
                <w:color w:val="auto"/>
              </w:rPr>
              <w:t>Stock dividend distributable</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62,067</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ind w:left="200"/>
              <w:spacing w:after="0"/>
              <w:rPr>
                <w:sz w:val="20"/>
                <w:szCs w:val="20"/>
                <w:color w:val="auto"/>
              </w:rPr>
            </w:pPr>
            <w:r>
              <w:rPr>
                <w:rFonts w:ascii="Courier New" w:cs="Courier New" w:eastAsia="Courier New" w:hAnsi="Courier New"/>
                <w:sz w:val="16"/>
                <w:szCs w:val="16"/>
                <w:color w:val="auto"/>
              </w:rPr>
              <w:t>Accumulated deficit</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(139,977,562)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(133,944,684)</w:t>
            </w:r>
          </w:p>
        </w:tc>
      </w:tr>
      <w:tr>
        <w:trPr>
          <w:trHeight w:val="186"/>
        </w:trPr>
        <w:tc>
          <w:tcPr>
            <w:tcW w:w="7660" w:type="dxa"/>
            <w:vAlign w:val="bottom"/>
          </w:tcPr>
          <w:p>
            <w:pPr>
              <w:ind w:left="200"/>
              <w:spacing w:after="0"/>
              <w:rPr>
                <w:sz w:val="20"/>
                <w:szCs w:val="20"/>
                <w:color w:val="auto"/>
              </w:rPr>
            </w:pPr>
            <w:r>
              <w:rPr>
                <w:rFonts w:ascii="Courier New" w:cs="Courier New" w:eastAsia="Courier New" w:hAnsi="Courier New"/>
                <w:sz w:val="16"/>
                <w:szCs w:val="16"/>
                <w:color w:val="auto"/>
              </w:rPr>
              <w:t>Deferred compensation</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(1,288,458)</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(2,270,097)</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ind w:left="880"/>
              <w:spacing w:after="0"/>
              <w:rPr>
                <w:sz w:val="20"/>
                <w:szCs w:val="20"/>
                <w:color w:val="auto"/>
              </w:rPr>
            </w:pPr>
            <w:r>
              <w:rPr>
                <w:rFonts w:ascii="Courier New" w:cs="Courier New" w:eastAsia="Courier New" w:hAnsi="Courier New"/>
                <w:sz w:val="16"/>
                <w:szCs w:val="16"/>
                <w:color w:val="auto"/>
              </w:rPr>
              <w:t>Total stockholders' equity</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7,041,835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13,207,807</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ind w:left="880"/>
              <w:spacing w:after="0"/>
              <w:rPr>
                <w:sz w:val="20"/>
                <w:szCs w:val="20"/>
                <w:color w:val="auto"/>
              </w:rPr>
            </w:pPr>
            <w:r>
              <w:rPr>
                <w:rFonts w:ascii="Courier New" w:cs="Courier New" w:eastAsia="Courier New" w:hAnsi="Courier New"/>
                <w:sz w:val="16"/>
                <w:szCs w:val="16"/>
                <w:color w:val="auto"/>
              </w:rPr>
              <w:t>Total liabilities, redeemable convertible preferred stock,</w:t>
            </w:r>
          </w:p>
        </w:tc>
        <w:tc>
          <w:tcPr>
            <w:tcW w:w="18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6"/>
        </w:trPr>
        <w:tc>
          <w:tcPr>
            <w:tcW w:w="7660" w:type="dxa"/>
            <w:vAlign w:val="bottom"/>
          </w:tcPr>
          <w:p>
            <w:pPr>
              <w:ind w:left="880"/>
              <w:spacing w:after="0"/>
              <w:rPr>
                <w:sz w:val="20"/>
                <w:szCs w:val="20"/>
                <w:color w:val="auto"/>
              </w:rPr>
            </w:pPr>
            <w:r>
              <w:rPr>
                <w:rFonts w:ascii="Courier New" w:cs="Courier New" w:eastAsia="Courier New" w:hAnsi="Courier New"/>
                <w:sz w:val="16"/>
                <w:szCs w:val="16"/>
                <w:color w:val="auto"/>
              </w:rPr>
              <w:t>and stockholders' equity</w:t>
            </w: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$15,255,847</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$20,803,076</w:t>
            </w:r>
          </w:p>
        </w:tc>
      </w:tr>
      <w:tr>
        <w:trPr>
          <w:trHeight w:val="186"/>
        </w:trPr>
        <w:tc>
          <w:tcPr>
            <w:tcW w:w="7660" w:type="dxa"/>
            <w:vAlign w:val="bottom"/>
          </w:tcPr>
          <w:p>
            <w:pPr>
              <w:spacing w:after="0"/>
              <w:rPr>
                <w:sz w:val="16"/>
                <w:szCs w:val="16"/>
                <w:color w:val="auto"/>
              </w:rPr>
            </w:pPr>
          </w:p>
        </w:tc>
        <w:tc>
          <w:tcPr>
            <w:tcW w:w="18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380" w:right="3960" w:hanging="379"/>
        <w:spacing w:after="0" w:line="248" w:lineRule="auto"/>
        <w:tabs>
          <w:tab w:leader="none" w:pos="360" w:val="left"/>
        </w:tabs>
        <w:rPr>
          <w:sz w:val="20"/>
          <w:szCs w:val="20"/>
          <w:color w:val="auto"/>
        </w:rPr>
      </w:pPr>
      <w:r>
        <w:rPr>
          <w:rFonts w:ascii="Courier New" w:cs="Courier New" w:eastAsia="Courier New" w:hAnsi="Courier New"/>
          <w:sz w:val="16"/>
          <w:szCs w:val="16"/>
          <w:color w:val="auto"/>
        </w:rPr>
        <w:t>(a)</w:t>
        <w:tab/>
        <w:t>Derived from the Company's audited financial statements as of December 31,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676"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336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Three Months Ended</w:t>
            </w:r>
          </w:p>
        </w:tc>
        <w:tc>
          <w:tcPr>
            <w:tcW w:w="300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4400" w:type="dxa"/>
            <w:vAlign w:val="bottom"/>
          </w:tcPr>
          <w:p>
            <w:pPr>
              <w:spacing w:after="0"/>
              <w:rPr>
                <w:sz w:val="16"/>
                <w:szCs w:val="16"/>
                <w:color w:val="auto"/>
              </w:rPr>
            </w:pPr>
          </w:p>
        </w:tc>
        <w:tc>
          <w:tcPr>
            <w:tcW w:w="3360" w:type="dxa"/>
            <w:vAlign w:val="bottom"/>
            <w:gridSpan w:val="2"/>
          </w:tcPr>
          <w:p>
            <w:pPr>
              <w:jc w:val="right"/>
              <w:ind w:right="1179"/>
              <w:spacing w:after="0"/>
              <w:rPr>
                <w:sz w:val="20"/>
                <w:szCs w:val="20"/>
                <w:color w:val="auto"/>
              </w:rPr>
            </w:pPr>
            <w:r>
              <w:rPr>
                <w:rFonts w:ascii="Courier New" w:cs="Courier New" w:eastAsia="Courier New" w:hAnsi="Courier New"/>
                <w:sz w:val="16"/>
                <w:szCs w:val="16"/>
                <w:color w:val="auto"/>
              </w:rPr>
              <w:t>June 30,</w:t>
            </w:r>
          </w:p>
        </w:tc>
        <w:tc>
          <w:tcPr>
            <w:tcW w:w="300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2002</w:t>
            </w:r>
          </w:p>
        </w:tc>
        <w:tc>
          <w:tcPr>
            <w:tcW w:w="1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2001</w:t>
            </w:r>
          </w:p>
        </w:tc>
        <w:tc>
          <w:tcPr>
            <w:tcW w:w="1600" w:type="dxa"/>
            <w:vAlign w:val="bottom"/>
          </w:tcPr>
          <w:p>
            <w:pPr>
              <w:ind w:left="480"/>
              <w:spacing w:after="0"/>
              <w:rPr>
                <w:sz w:val="20"/>
                <w:szCs w:val="20"/>
                <w:color w:val="auto"/>
              </w:rPr>
            </w:pPr>
            <w:r>
              <w:rPr>
                <w:rFonts w:ascii="Courier New" w:cs="Courier New" w:eastAsia="Courier New" w:hAnsi="Courier New"/>
                <w:sz w:val="16"/>
                <w:szCs w:val="16"/>
                <w:color w:val="auto"/>
              </w:rPr>
              <w:t>2002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(Restated)</w:t>
            </w:r>
          </w:p>
        </w:tc>
        <w:tc>
          <w:tcPr>
            <w:tcW w:w="1600" w:type="dxa"/>
            <w:vAlign w:val="bottom"/>
          </w:tcPr>
          <w:p>
            <w:pPr>
              <w:spacing w:after="0"/>
              <w:rPr>
                <w:sz w:val="16"/>
                <w:szCs w:val="16"/>
                <w:color w:val="auto"/>
              </w:rPr>
            </w:pPr>
          </w:p>
        </w:tc>
        <w:tc>
          <w:tcPr>
            <w:tcW w:w="1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(Restated)</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Revenue from grants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$88,250</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$ 199,549</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Revenue from licensing agreements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37,079</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37,079</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Revenue from assignment of Technology</w:t>
            </w:r>
          </w:p>
        </w:tc>
        <w:tc>
          <w:tcPr>
            <w:tcW w:w="1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400" w:type="dxa"/>
            <w:vAlign w:val="bottom"/>
          </w:tcPr>
          <w:p>
            <w:pPr>
              <w:ind w:left="580"/>
              <w:spacing w:after="0"/>
              <w:rPr>
                <w:sz w:val="20"/>
                <w:szCs w:val="20"/>
                <w:color w:val="auto"/>
              </w:rPr>
            </w:pPr>
            <w:r>
              <w:rPr>
                <w:rFonts w:ascii="Courier New" w:cs="Courier New" w:eastAsia="Courier New" w:hAnsi="Courier New"/>
                <w:sz w:val="16"/>
                <w:szCs w:val="16"/>
                <w:color w:val="auto"/>
              </w:rPr>
              <w:t>rights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300,000</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300,000</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Total revenue</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125,329</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300,000</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236,628</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400,000</w:t>
            </w:r>
          </w:p>
        </w:tc>
      </w:tr>
      <w:tr>
        <w:trPr>
          <w:trHeight w:val="559"/>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2,114,514</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2,859,141</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3,651,510</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4,503,398</w:t>
            </w: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General and administrative</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1,051,540</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1,100,300</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2,390,912</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2,097,162</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3,166,054</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3,959,441</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6,042,422</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6,600,560</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1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(3,040,725)</w:t>
            </w:r>
          </w:p>
        </w:tc>
        <w:tc>
          <w:tcPr>
            <w:tcW w:w="1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(3,659,441)</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(5,805,794)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(6,200,560)</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Investment income</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42,450</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46,290</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59,971</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125,333</w:t>
            </w: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Interest expense</w:t>
            </w:r>
          </w:p>
        </w:tc>
        <w:tc>
          <w:tcPr>
            <w:tcW w:w="1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(59,654)</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(118,279)</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Gain on sale of investments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5,232,168</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7,782,399</w:t>
            </w: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Loss on disposal of fixed assets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(24,484)</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(24,484)</w:t>
            </w: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Other income (expense)</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(3,952)</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180,389</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Total other income (expense)</w:t>
            </w:r>
          </w:p>
        </w:tc>
        <w:tc>
          <w:tcPr>
            <w:tcW w:w="1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(17,204)</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5,253,974</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(62,260)</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8,063,637</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(3,057,929)</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1,594,533</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(5,868,054)</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1,863,077</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Dividend to preferred shareholders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164,825</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164,825</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Deemed dividend</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320,001</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470,752</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640,002</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802,250</w:t>
            </w:r>
          </w:p>
        </w:tc>
      </w:tr>
      <w:tr>
        <w:trPr>
          <w:trHeight w:val="186"/>
        </w:trPr>
        <w:tc>
          <w:tcPr>
            <w:tcW w:w="44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income (loss) applicable to common</w:t>
            </w:r>
          </w:p>
        </w:tc>
        <w:tc>
          <w:tcPr>
            <w:tcW w:w="1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shareholders</w:t>
            </w:r>
          </w:p>
        </w:tc>
        <w:tc>
          <w:tcPr>
            <w:tcW w:w="1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($3,542,755)</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$1,123,781</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($6,672,881)</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1,060,827</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 per share</w:t>
            </w:r>
          </w:p>
        </w:tc>
        <w:tc>
          <w:tcPr>
            <w:tcW w:w="1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($0.15)</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$0.05</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($0.27)</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w:t>
            </w: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shares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24,354,705</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21,511,171</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24,288,198</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21,251,591</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 per share</w:t>
            </w:r>
          </w:p>
        </w:tc>
        <w:tc>
          <w:tcPr>
            <w:tcW w:w="18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($0.15)</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$0.05</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($0.27)</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$0.05</w:t>
            </w: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shares</w:t>
            </w: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24,354,705</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23,264,606</w:t>
            </w:r>
          </w:p>
        </w:tc>
        <w:tc>
          <w:tcPr>
            <w:tcW w:w="1600" w:type="dxa"/>
            <w:vAlign w:val="bottom"/>
          </w:tcPr>
          <w:p>
            <w:pPr>
              <w:ind w:left="480"/>
              <w:spacing w:after="0"/>
              <w:rPr>
                <w:sz w:val="20"/>
                <w:szCs w:val="20"/>
                <w:color w:val="auto"/>
              </w:rPr>
            </w:pPr>
            <w:r>
              <w:rPr>
                <w:rFonts w:ascii="Courier New" w:cs="Courier New" w:eastAsia="Courier New" w:hAnsi="Courier New"/>
                <w:sz w:val="16"/>
                <w:szCs w:val="16"/>
                <w:color w:val="auto"/>
              </w:rPr>
              <w:t>24,288,198</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23,005,026</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60"/>
          </w:cols>
          <w:pgMar w:left="240" w:top="676" w:right="8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382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6740" w:type="dxa"/>
            <w:vAlign w:val="bottom"/>
          </w:tcPr>
          <w:p>
            <w:pPr>
              <w:spacing w:after="0"/>
              <w:rPr>
                <w:sz w:val="16"/>
                <w:szCs w:val="16"/>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c>
          <w:tcPr>
            <w:tcW w:w="1300" w:type="dxa"/>
            <w:vAlign w:val="bottom"/>
          </w:tcPr>
          <w:p>
            <w:pPr>
              <w:spacing w:after="0"/>
              <w:rPr>
                <w:sz w:val="16"/>
                <w:szCs w:val="16"/>
                <w:color w:val="auto"/>
              </w:rPr>
            </w:pPr>
          </w:p>
        </w:tc>
      </w:tr>
      <w:tr>
        <w:trPr>
          <w:trHeight w:val="186"/>
        </w:trPr>
        <w:tc>
          <w:tcPr>
            <w:tcW w:w="6740" w:type="dxa"/>
            <w:vAlign w:val="bottom"/>
          </w:tcPr>
          <w:p>
            <w:pPr>
              <w:spacing w:after="0"/>
              <w:rPr>
                <w:sz w:val="16"/>
                <w:szCs w:val="16"/>
                <w:color w:val="auto"/>
              </w:rPr>
            </w:pPr>
          </w:p>
        </w:tc>
        <w:tc>
          <w:tcPr>
            <w:tcW w:w="252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2002</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($5,868,054)</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1,863,077</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(loss) to net cash used in</w:t>
            </w:r>
          </w:p>
        </w:tc>
        <w:tc>
          <w:tcPr>
            <w:tcW w:w="2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6740" w:type="dxa"/>
            <w:vAlign w:val="bottom"/>
          </w:tcPr>
          <w:p>
            <w:pPr>
              <w:ind w:left="680"/>
              <w:spacing w:after="0"/>
              <w:rPr>
                <w:sz w:val="20"/>
                <w:szCs w:val="20"/>
                <w:color w:val="auto"/>
              </w:rPr>
            </w:pPr>
            <w:r>
              <w:rPr>
                <w:rFonts w:ascii="Courier New" w:cs="Courier New" w:eastAsia="Courier New" w:hAnsi="Courier New"/>
                <w:sz w:val="16"/>
                <w:szCs w:val="16"/>
                <w:color w:val="auto"/>
              </w:rPr>
              <w:t>operating activities:</w:t>
            </w:r>
          </w:p>
        </w:tc>
        <w:tc>
          <w:tcPr>
            <w:tcW w:w="2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194,721</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291,453</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Amortization of deferred compensation</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(359,729)</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1,239,742</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Compensation expense relating to the grant of stock options</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89,434</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87,494</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Loss on disposal of fixed assets</w:t>
            </w:r>
          </w:p>
        </w:tc>
        <w:tc>
          <w:tcPr>
            <w:tcW w:w="25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24,484</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Gain on sale of investments</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(7,782,399)</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Gain on assignment of rights to technology</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336,312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(1,159,695)</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Net cash (used in) provided by operating activities</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(5,607,316)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(5,735,844)</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 of investments</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7,782,398</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Proceeds from assignment of technology</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300,000</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Purchase of property, plant and equipment</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(110,902)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(204,217)</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Acquisition of other assets</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(50,345)</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Net cash (used in) provided by investing activities</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(110,902)</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7,827,836</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107</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26,613</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Proceeds from the issuance of common stock</w:t>
            </w:r>
          </w:p>
        </w:tc>
        <w:tc>
          <w:tcPr>
            <w:tcW w:w="25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1,500,000</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Expenses relating to the issuance of common stock</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(29,355)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(83,300)</w:t>
            </w: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Principal payments under capitalized lease obligations</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(167,500)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(165,000)</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(196,748)</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1,278,313</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(5,914,966)</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3,370,305</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2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13,697,195</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6,068,947</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$7,782,229</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$9,439,252</w:t>
            </w:r>
          </w:p>
        </w:tc>
      </w:tr>
      <w:tr>
        <w:trPr>
          <w:trHeight w:val="186"/>
        </w:trPr>
        <w:tc>
          <w:tcPr>
            <w:tcW w:w="6740" w:type="dxa"/>
            <w:vAlign w:val="bottom"/>
          </w:tcPr>
          <w:p>
            <w:pPr>
              <w:spacing w:after="0"/>
              <w:rPr>
                <w:sz w:val="16"/>
                <w:szCs w:val="16"/>
                <w:color w:val="auto"/>
              </w:rPr>
            </w:pP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74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6"/>
        </w:trPr>
        <w:tc>
          <w:tcPr>
            <w:tcW w:w="6740" w:type="dxa"/>
            <w:vAlign w:val="bottom"/>
          </w:tcPr>
          <w:p>
            <w:pPr>
              <w:ind w:left="380"/>
              <w:spacing w:after="0"/>
              <w:rPr>
                <w:sz w:val="20"/>
                <w:szCs w:val="20"/>
                <w:color w:val="auto"/>
              </w:rPr>
            </w:pPr>
            <w:r>
              <w:rPr>
                <w:rFonts w:ascii="Courier New" w:cs="Courier New" w:eastAsia="Courier New" w:hAnsi="Courier New"/>
                <w:sz w:val="16"/>
                <w:szCs w:val="16"/>
                <w:color w:val="auto"/>
              </w:rPr>
              <w:t>Interest paid</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$118,279</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$129,626</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60"/>
          </w:cols>
          <w:pgMar w:left="240" w:top="676" w:right="10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378"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NOTES TO CONDENSED CONSOLIDATED FINANCIAL STATEMENTS (UNAUDITED) June 30, 2002 and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SUMMARY OF SIGNIFICANT ACCOUNTING POLICIES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2002 are not necessarily indicative of the results that may be expected for the entire fiscal year ending December 31, 2002.</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balance sheet at December 31, 2001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2001, included on Form 10-K/A.</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Company has restated its consolidated statements of operations for the year ended December 31, 2001 and its unaudited consolidated statements of operations for the quarters ended March 31, 2001 and June 30, 2001. The restatement is being made in order to record additional deemed dividends for the beneficial conversion feature of the Company's 6% Cumulative Convertible Preferred Stock. Accordingly, the restated financial statements included in this Form 10-Q reflect the additional deemed dividends.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(LOSS) PER SHARE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Basic net income (loss) per common share is computed using the weighted average number of common shares outstanding during the period. Diluted net income (loss) per share is computed using the weighted average of common and diluted equivalent stock options and warrants outstanding during the period. Stock options and warrants that are antidilutive are excluded from the calculation of diluted income per common share. The Company excluded all stock options and warrants from the calculation of diluted loss per common share for the three and six-month period ended June 30, 2002, as these securities are antidilutive during that period. Net income (loss) for the three-month period ended June 30, 2002 and 2001 was ($3,057,929) and $1,594,533 respectively. Net income (loss) for the six-month period ended June 30, 2002 and 2001 was ($5,868,054) and $1,863,077.</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at-risk, performance based milestones are recognized as revenue upon their completion, as defined in the respective agreements. Incidental assignment of technology rights are recognized as revenue at the time of receipt.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6" w:name="page7"/>
    <w:bookmarkEnd w:id="6"/>
    <w:p>
      <w:pPr>
        <w:spacing w:after="0"/>
        <w:tabs>
          <w:tab w:leader="none" w:pos="860" w:val="left"/>
        </w:tabs>
        <w:rPr>
          <w:sz w:val="20"/>
          <w:szCs w:val="20"/>
          <w:color w:val="auto"/>
        </w:rPr>
      </w:pPr>
      <w:r>
        <w:rPr>
          <w:rFonts w:ascii="Courier New" w:cs="Courier New" w:eastAsia="Courier New" w:hAnsi="Courier New"/>
          <w:sz w:val="16"/>
          <w:szCs w:val="16"/>
          <w:color w:val="auto"/>
        </w:rPr>
        <w:t>NOTE 2.</w:t>
        <w:tab/>
        <w:t>INVESTMENTS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 December 31, 2000, the Company owned 126,193 shares of Modex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Therapeutics Ltd. ("Modex"), a Swiss biotechnology company traded on the Swiss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On January 9, 2001, the Company sold 22,616 Modex shares for a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182.00 Swiss francs per share, which converts to $112.76 per share,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proceeds of $2,550,230. On April 30, 2001, the Company sold its remaining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in Modex for a net price of 87.30 Swiss Francs per share, which converts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approximately $50.51 per share, for total proceeds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$5,232,168, net of commissions and fees. The Company no longer holds any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Modex.</w:t>
      </w:r>
    </w:p>
    <w:p>
      <w:pPr>
        <w:spacing w:after="0" w:line="3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3.</w:t>
        <w:tab/>
        <w:t>LEASES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As of February 1, 2001, the Company entered into a 5-year lease for a 40,000 square foot facility located in the Stanford Research Park in Palo Alto, CA. The new facility includes space for animals, laboratories, offices, and a GMP (Good Manufacturing Practices) suite. GMP facilities can be used to manufacture materials for clinical trials. The rent will average approximately $3.15 million per year over the term of the lease. In addition the Company has issued a letter of credit amounting to $275,000 to serve as a deposit for the duration of the lease. The lease has a rent escalation clause and accordingly, the Company is recognizing rent expense on a straight-line basis. At June 30, 2002, the Company had $717,887 in deferred rent expense for this facility. In 2001, the Company entered into two space-sharing agreements covering approximately 13,000 square feet of the 40,000 square foot facility. The Company expects to receive an average of approximately $970,000 per year plus a proportionate share of the operating expenses over the term of these agreements, provided that the space-sharing agreement terms are met by the Company and the other parties.</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Company had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that limit, among other things, the payment of cash dividends and the sale of the related assets.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Company entered into a fifteen-year lease for a scientific and administrative facility ("SAF") in connection with a sale and leaseback arrangement in 1997. The lease has a rent escalation clause and accordingly, the Company is recognizing rent expense on a straight-line basis. At June 30, 2002, the Company had $1,043,522 in deferred rent expense for this facility.</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The Company continues to lease the facilities in Lincoln, Rhode Island obtained in connection with its former encapsulated cell technology, but have now succeeded in subleasing the majority of those facilities: the 21,000 square-foot pilot manufacturing facility, the 3,000 square-foot cell processing facility and a substantial portion of the approximately 65,000 square foot SAF. The continued receipt of rental income is dependent on the financial ability of the occupants to comply with their obligations under the subleases. The subtenant of the cell processing facility has recently gone into receivership, and the continued receipt of rental payments (currently $3,500 per month) is uncertain. As part of the subleasing agreement, the Company has issued two letters of credit: one for $106,560 with an expiration date of March 31, 2003, and the other for $159,000 which will automatically decrease to $106,053 in March 31, 2005 and $52,947 in March 2006, with a final expiration date of March 31, 2007. The Company continues to seek to sublet the remainder of the SAF and to assign or sell its interests in these properties. There can be no assurance however, that the Company will be able to dispose of these properties in a reasonable time, if at all.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GRANTS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February 2001, the Company was awarded a two-year, $300,000 per year grant from the National Institutes of Health's Small Business Innovation Research (SBIR) office. The grant, which supports joint work with virologist Dr. Jeffrey Glenn at Stanford University, is aimed at characterizing the human cells that can be infected by human hepatitis viruses and developing a small animal model using the cells that are most infectable by these viruses to develop screening assays and identify novel drug for the disease. In the year 2001, the Company received</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881" w:gutter="0" w:footer="0" w:header="0"/>
        </w:sectPr>
      </w:pPr>
    </w:p>
    <w:bookmarkStart w:id="7" w:name="page8"/>
    <w:bookmarkEnd w:id="7"/>
    <w:p>
      <w:pPr>
        <w:ind w:right="2459"/>
        <w:spacing w:after="0" w:line="247" w:lineRule="auto"/>
        <w:rPr>
          <w:sz w:val="20"/>
          <w:szCs w:val="20"/>
          <w:color w:val="auto"/>
        </w:rPr>
      </w:pPr>
      <w:r>
        <w:rPr>
          <w:rFonts w:ascii="Courier New" w:cs="Courier New" w:eastAsia="Courier New" w:hAnsi="Courier New"/>
          <w:sz w:val="16"/>
          <w:szCs w:val="16"/>
          <w:color w:val="auto"/>
        </w:rPr>
        <w:t>$300,000, of which $150,367 represents the Company's share of the joint effort and has been recognized as revenue. The remainder, $149,633, was paid to Stanford University as its share of the joint effort. For the six-month period ended June 2002 the Company received $263,682 as part payment for the second year, of which $87,049 was recognized as revenue and the balance of $149,633 was paid to Stanford University as its share of the joint effort.</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In 2001, the Company received and recognized as revenue $56,250 related to this award. For the six-month period ended June 30, 2002, the Company received and recognized as revenue $112,500.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STOCKHOLDERS' EQUITY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CUMULATIVE CONVERTIBLE PREFERRED STOCK</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preferred stock contains a mandatory redemption feature where the Company will redeem unconverted preferred stock on December 4, 2003. The Company has valued the warrants and the beneficial conversion feature reflecting the December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An accretion adjustment of $640,002 was recorded for the six-month period ended June 30, 2002. The Company filed a registration statement on Form S-3 covering the shares of common stock underlying the 3% Cumulative Convertible Preferred Stock, and the SEC declared it effective on January 10, 2002. On December 7, 2001, Riverview Group converted 1,000 shares of its 3% cumulative convertible preferred stock for 500,125 shares of the Company's common stock. Dividends due on the shares of the preferred stock outstanding on a Dividend Payment Date (June 30 and December 31) may be paid in the Company's common stock if the Company so elects by such date. The Company elected to pay the June 30, 2002 dividend in stock, valued at approximately $62,000, and recorded as "Stock dividend distributable" at June 30, 2002. 38,313 shares of common stock were issued subsequently, on July 3,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CUMULATIVE CONVERTIBLE PREFERRED STOCK</w:t>
      </w:r>
    </w:p>
    <w:p>
      <w:pPr>
        <w:spacing w:after="0" w:line="191" w:lineRule="exact"/>
        <w:rPr>
          <w:sz w:val="20"/>
          <w:szCs w:val="20"/>
          <w:color w:val="auto"/>
        </w:rPr>
      </w:pPr>
    </w:p>
    <w:p>
      <w:pPr>
        <w:ind w:right="2859" w:firstLine="872"/>
        <w:spacing w:after="0" w:line="246" w:lineRule="auto"/>
        <w:rPr>
          <w:sz w:val="20"/>
          <w:szCs w:val="20"/>
          <w:color w:val="auto"/>
        </w:rPr>
      </w:pPr>
      <w:r>
        <w:rPr>
          <w:rFonts w:ascii="Courier New" w:cs="Courier New" w:eastAsia="Courier New" w:hAnsi="Courier New"/>
          <w:sz w:val="16"/>
          <w:szCs w:val="16"/>
          <w:color w:val="auto"/>
        </w:rPr>
        <w:t>On April 13, 2000 the Company issued 1,500 shares of 6% cumulative convertible preferred stock plus a warrant for 75,000 shares of our common stock to two members of its Board of Directors for $1,500,000. The shares were convertible at the option of the holders into common stock at the initial conversion price of $3.77 per share based on the face value of the preferred shares. The conversion price is subject to adjustment upon certain equity transactions, as defined by the applicable agreement and may be below the trading market price of the stock at the time of conversion. The Company valued the beneficial conversion feature reflecting the April 13, 2000 commitment date and the most beneficial per share discount available to the preferred shareholders. Such value was $481,000 and was treated as a deemed dividend as of the commitment date.</w:t>
      </w:r>
    </w:p>
    <w:p>
      <w:pPr>
        <w:spacing w:after="0" w:line="193" w:lineRule="exact"/>
        <w:rPr>
          <w:sz w:val="20"/>
          <w:szCs w:val="20"/>
          <w:color w:val="auto"/>
        </w:rPr>
      </w:pPr>
    </w:p>
    <w:p>
      <w:pPr>
        <w:ind w:right="2959" w:firstLine="872"/>
        <w:spacing w:after="0" w:line="246" w:lineRule="auto"/>
        <w:rPr>
          <w:sz w:val="20"/>
          <w:szCs w:val="20"/>
          <w:color w:val="auto"/>
        </w:rPr>
      </w:pPr>
      <w:r>
        <w:rPr>
          <w:rFonts w:ascii="Courier New" w:cs="Courier New" w:eastAsia="Courier New" w:hAnsi="Courier New"/>
          <w:sz w:val="16"/>
          <w:szCs w:val="16"/>
          <w:color w:val="auto"/>
        </w:rPr>
        <w:t>During 2001, the conversion price was reduced as a result of the issuance of adjusted warrants to Millennium Partners, LP. The Company has revalued the beneficial conversion feature reflecting the reset conversion price and the most beneficial per share discount available to the preferred shareholders and has recorded additional deemed dividends of $802,000 as of the applicable reset dates. The shares were originally to convert automatically on April 13, 2002 if they had not been converted before then. By virtue of a delay in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068" w:gutter="0" w:footer="0" w:header="0"/>
        </w:sectPr>
      </w:pPr>
    </w:p>
    <w:bookmarkStart w:id="8" w:name="page9"/>
    <w:bookmarkEnd w:id="8"/>
    <w:p>
      <w:pPr>
        <w:ind w:right="2459"/>
        <w:spacing w:after="0" w:line="247" w:lineRule="auto"/>
        <w:rPr>
          <w:sz w:val="20"/>
          <w:szCs w:val="20"/>
          <w:color w:val="auto"/>
        </w:rPr>
      </w:pPr>
      <w:r>
        <w:rPr>
          <w:rFonts w:ascii="Courier New" w:cs="Courier New" w:eastAsia="Courier New" w:hAnsi="Courier New"/>
          <w:sz w:val="16"/>
          <w:szCs w:val="16"/>
          <w:color w:val="auto"/>
        </w:rPr>
        <w:t>effective registration of the underlying common shares, the shareholders had the right to extend the Mandatory Conversion Date, and have done so: That date was extended to October 4, 2002.</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On June 7, 2002, one of the preferred stockholders converted 750 shares of 6% cumulative convertible preferred stock plus accumulated dividends, at an effective conversion price of $1.94 per share for 439,442 shares of common stock.</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9" w:name="page10"/>
    <w:bookmarkEnd w:id="9"/>
    <w:p>
      <w:pPr>
        <w:jc w:val="center"/>
        <w:ind w:right="2459"/>
        <w:spacing w:after="0"/>
        <w:rPr>
          <w:sz w:val="20"/>
          <w:szCs w:val="20"/>
          <w:color w:val="auto"/>
        </w:rPr>
      </w:pPr>
      <w:r>
        <w:rPr>
          <w:rFonts w:ascii="Courier New" w:cs="Courier New" w:eastAsia="Courier New" w:hAnsi="Courier New"/>
          <w:sz w:val="16"/>
          <w:szCs w:val="16"/>
          <w:color w:val="auto"/>
        </w:rPr>
        <w:t>ITEM 2. -MANAGEMENT'S DISCUSSION AND ANALYSIS OF FINANCIAL CONDITION AND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following discussion of the our financial condition and the results of our operations for the three and six-month period ended June 30, 2002 and 2001 should be read in conjunction with the accompanying unaudited condensed consolidated financial statements and the related footnotes thereto.</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report includes forward-looking statements. You can identify these statements by forward-looking words such as "may," "could," "will," "possibly," "expect," "anticipate," "project," "believe," "estimate,"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2001 could harm our business, operating results and financial condition. All forward-looking statements attributable to us or persons acting on our behalf are expressly qualified in their entirety by the cautionary statements and risk factors contained or referred to herein.</w:t>
      </w:r>
    </w:p>
    <w:p>
      <w:pPr>
        <w:spacing w:after="0" w:line="199"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jc w:val="both"/>
        <w:ind w:right="2459" w:firstLine="872"/>
        <w:spacing w:after="0" w:line="247" w:lineRule="auto"/>
        <w:rPr>
          <w:sz w:val="20"/>
          <w:szCs w:val="20"/>
          <w:color w:val="auto"/>
        </w:rPr>
      </w:pPr>
      <w:r>
        <w:rPr>
          <w:rFonts w:ascii="Courier New" w:cs="Courier New" w:eastAsia="Courier New" w:hAnsi="Courier New"/>
          <w:sz w:val="16"/>
          <w:szCs w:val="16"/>
          <w:color w:val="auto"/>
        </w:rPr>
        <w:t>Since our inception in 1988, we have been primarily engaged in research and development of human therapeutic products. As a result of a restructuring in the second half of 1999, our sole focus is now on our stem cell technology.</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2001, we entered into two significant financing agreements: In May, we entered into an equity line enabling us to draw up to $30,000,000 subject to various restrictions, and we did draw down $4,000,000 in July; and in December, we issued 3% convertible preferred stock for $5,000,000. In addition, under the terms of the financing agreement we entered into in 2000 with Millennium Partners, LP, Millennium exercised its final option to purchase $2,000,000 of our common stock; that agreement has now terminated. (See "Liquidity and Capital Resources" below for further detail on each of these transactions.)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addition, we received two grants from the National Institutes of Health, 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Our results of operations have varied significantly from year to year and quarter to quarter and may vary significantly in the future due to the occurrence of material recurring and nonrecurring events including, without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0" w:name="page11"/>
    <w:bookmarkEnd w:id="10"/>
    <w:p>
      <w:pPr>
        <w:ind w:right="2459"/>
        <w:spacing w:after="0" w:line="247" w:lineRule="auto"/>
        <w:rPr>
          <w:sz w:val="20"/>
          <w:szCs w:val="20"/>
          <w:color w:val="auto"/>
        </w:rPr>
      </w:pPr>
      <w:r>
        <w:rPr>
          <w:rFonts w:ascii="Courier New" w:cs="Courier New" w:eastAsia="Courier New" w:hAnsi="Courier New"/>
          <w:sz w:val="16"/>
          <w:szCs w:val="16"/>
          <w:color w:val="auto"/>
        </w:rPr>
        <w:t>limitation, the receipt and payment of recurring and nonrecurring licensing payments, the initiation or termination of research collaborations, the on-going expenses to lease and maintain our facilities in Rhode Island and the increasing costs associated with our move to a larger facility in California. To expand and provide high quality systems and support to our Research and Development programs, we will need to hire more personnel, which will lead to higher operating expenses.</w:t>
      </w:r>
    </w:p>
    <w:p>
      <w:pPr>
        <w:spacing w:after="0" w:line="185"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We believe the following critical accounting policies affect the more significant judgments and estimates used in the preparation of our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ESTIMATES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STOCK-BASED COMPENSATION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Our employee stock option plan is accounted for under Accounting Principles Board Opinion No. 25 ("APB 25"), "Accounting for Stock Issued to Employees." We grant qualified stock options for a fixed number of shares to employees with an exercise price equal to the fair market value of the shares at the date of grant.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w:t>
      </w:r>
    </w:p>
    <w:p>
      <w:pPr>
        <w:spacing w:after="0" w:line="192"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We account for certain stock options granted to non-employees in accordance with FAS NO. 123--ACCOUNTING FOR STOCK-BASED COMPENSATION and EITF</w:t>
      </w:r>
    </w:p>
    <w:p>
      <w:pPr>
        <w:spacing w:after="0" w:line="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96-18--ACCOUNTING FOR EQUITY INSTRUMENTS THAT ARE ISSUED TO OTHER THAN EMPLOYEES FOR ACQUIRING, OR IN CONJUNCTION WITH SELLING, GOODS OR SERVICES, and accordingly, recognize as expense the estimated fair value of such options as calculated using the Black-Scholes valuation model. The estimated fair value is re-determined each quarter using the methodologies allowable by FAS No. 123, and the cost is amortized over the vesting period of each option or the recipient's contractual arrangement, if shorter.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LONG-LIVED ASSETS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We routinely evaluate the carrying value of our long-lived assets. We record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COSTS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We expense all research and development costs as incurred. Research and Development costs include costs of personnel, external services, supplies, facilities and miscellaneous other costs.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JUNE 30, 2002 AND 2001</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For the three months ended June 30, 2002, revenue from grants and licensing agreements totaled approximately $125,000; there was no revenue from grants and licensing agreements for the three months ended June 30, 2001. For the three months ended June 30, 2002, we received no revenue from the assignment of rights related to technology; for the same period in 2001, such revenue totaled $ 300,000.</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1" w:name="page12"/>
    <w:bookmarkEnd w:id="11"/>
    <w:p>
      <w:pPr>
        <w:ind w:right="2459" w:firstLine="872"/>
        <w:spacing w:after="0" w:line="246" w:lineRule="auto"/>
        <w:rPr>
          <w:sz w:val="20"/>
          <w:szCs w:val="20"/>
          <w:color w:val="auto"/>
        </w:rPr>
      </w:pPr>
      <w:r>
        <w:rPr>
          <w:rFonts w:ascii="Courier New" w:cs="Courier New" w:eastAsia="Courier New" w:hAnsi="Courier New"/>
          <w:sz w:val="16"/>
          <w:szCs w:val="16"/>
          <w:color w:val="auto"/>
        </w:rPr>
        <w:t>Research and development expenses totaled $2,115,000 for the three months ended June 30, 2002, compared with $2,859,000 for the same period in 2001. The decrease of $744,000 or 26% from 2001 to 2002 was primarily attributable to the effect of the lower valuation of non-qualified stock options on compensation cost, offset by costs related to an increase in personnel to facilitate the expansion of our research programs and initiate development. At June 30, 2002, we had 32 full time employees for research and development and laboratory support services, compared with 24 full time employees at June 30, 2001.</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General and administrative expenses were $1,052,000 for the three months ended June 30, 2002, compared with $1,100,000 for the same period in 2001. The decrease of $48,000 or 4%, from 2001 to 2002 was primarily attributable to the effect of a lower valuation of non-qualified stock options in compensation cost offset by the inclusion of $124,000 in expenses of our Rhode Island facilities in general and administrative expenses and an increase in personnel. For the same period in year 2001, $495,000 in expenses for the Rhode Island facilities was booked against a wind-down reserve. At December 31, 2000,we had created this wind-down reserve of $1,780,000 related to the carrying costs for the Rhode Island facilities through 2001. As we cannot predict the exact disposal date of these properties, effective 2002, we record these expenses as normal general and administrative expenses.</w:t>
      </w:r>
    </w:p>
    <w:p>
      <w:pPr>
        <w:spacing w:after="0" w:line="193"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On April 30, 2001, the Company sold its remaining shares in Modex for a realized gain of $5,232,168. The Company no longer holds any shares of Modex.</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Interest income for the three months ended June 30, 2002 and 2001 was $42,000 and $46,000 respectively. Interest expense was $60,000 for the three months ended June 31, 2002. For the three months ended June 30, 2001, interest expense was $65,000 and was charged against the wind-down reserve, as the expense was part of the bond payments related to the Rhode Island facilities. The decrease in 2002 was attributable to lower outstanding debt and capital lease balances in 2002 compared to 2001.</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For the three months ended June 30, 2002, we recorded a deemed dividend of $320,000 related to the 3% Cumulative Convertible Preferred Stock which includes the accretion of common stock warrants, the accretion of the beneficial conversion feature and the accretion of related issuance costs. For the three months ended June 30, 2001, we recorded a deemed dividend of $470,752 related to the 6% Cumulative Convertible Preferred Stock to reflect the increase in the beneficial conversion feature resulting from the decrease in the effective conversion price. The aggregate accretion value associated with the warrants, beneficial conversion feature and issuance costs were included in the calculation of net loss applicable to common stockholders.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JUNE 30, 2002 AND 2001</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For the six months ended June 30, 2002 revenue from grants and licensing agreements totaled approximately $236,000; revenue from grants for the six months ended June 30, 2001 totaled approximately 100,000. For the six months ended June 30, 2001 revenue from the assignement of rights related to technology totaled $300,000; there was no such revenue for the same period in 2002.</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Research and development expenses totaled $3,652,000 for the six months ended June 30, 2002, compared with $4,503,000 for the same period in 2001. The decrease of $851,000 or 19% from 2001 to 2002 was primarily attributable to the effect of the lower valuation of non-qualified stock options on compensation cost, offset by costs related to an increase in personnel to facilitate the expansion of our research programs and initiate development.</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General and administrative expenses were $2,391,000 for the six months ended June 30, 2002, compared with $2,097,000 for the same period in 2001. The increase of $294,000 or 14%, from 2001 to 2002 was primarily attributable to the inclusion of $422,000 in expenses of our Rhode Island facilities in general and administrative expenses and an increase in personnel, offset by the effect of the lower valuation of non-qualified stock options on compensation cost. For the same period in year 2001, $894,000 in expenses for the Rhode Island facilities was booked against a wind-down reserve. At December 31, 2000, we had created this wind-down reserve of $1,780,000 related to the carrying costs for the Rhode Island facilities through 2001. As we cannot predict the exact disposal date of these properties, effective 2002 we record these expenses as normal general and administrative expenses.</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During the six month period ended June 30, 2001, we sold 126,193 Modex shares for total proceeds and a realized gain of approximately $7,782,000. We no longer hold any shares of Modex.</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881" w:gutter="0" w:footer="0" w:header="0"/>
        </w:sectPr>
      </w:pPr>
    </w:p>
    <w:bookmarkStart w:id="12" w:name="page13"/>
    <w:bookmarkEnd w:id="12"/>
    <w:p>
      <w:pPr>
        <w:ind w:right="2759" w:firstLine="872"/>
        <w:spacing w:after="0" w:line="247" w:lineRule="auto"/>
        <w:rPr>
          <w:sz w:val="20"/>
          <w:szCs w:val="20"/>
          <w:color w:val="auto"/>
        </w:rPr>
      </w:pPr>
      <w:r>
        <w:rPr>
          <w:rFonts w:ascii="Courier New" w:cs="Courier New" w:eastAsia="Courier New" w:hAnsi="Courier New"/>
          <w:sz w:val="16"/>
          <w:szCs w:val="16"/>
          <w:color w:val="auto"/>
        </w:rPr>
        <w:t>Interest income for the six months ended June 30, 2002 and 2001 was $60,000 and $125,000 respectively. Interest expense was $118,000 for the six months ended June 31, 2002. For the six months ended June 30, 2001, interest expense was $130,000 and was charged against the wind-down reserve, as the expense was part of the bond payments related to the Rhode Island facilities. The decrease in 2002 was attributable to lower outstanding debt and capital lease balances in 2002 compared to 2001.</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For the six months ended June 30, 2002, we recorded a deemed dividend of $640,000 related to the 3% Cumulative Convertible Preferred Stock which includes the accretion of common stock warrants, the accretion of the beneficial conversion feature and the accretion of related issuance costs. For the six months ended June 30, 2001, we recorded deemed dividends of $802,250 related to the 6% Cumulative Convertible Preferred Stock to reflect the increase in the beneficial conversion feature resulting from the decrease in the effective conversion price. The aggregate accretion value associated with the warrants, beneficial conversion feature and issuance costs were included in the calculation of net loss applicable to common stockholders.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We had unrestricted cash and cash equivalents totaling $7,782,000 as of June 30, 2002. Cash equivalents are invested in US Treasuries and money market funds with maturities of less than 90 days.</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Our liquidity and capital resources were, in the past, significantly affected by our relationships with corporate partners. These relationships are now terminated, and we have not yet established corporate partnerships with respect to our stem cell technology. Our liquidity and capital resources have, in the past, also been affected by our holdings of stock of Modex, all of which have now been sold.</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($4 million drawn to date). This facility, sometimes termed an equity line, is subject to restrictions and other obligations which limit how often we can exercise a draw down and the amount of each draw down. The restrictions are partially based on the trading volume and average price of the shares during periods prior to the draw down. Subject to these restrictions and obligations, we, at our sole discretion, may initiate a draw down on this facility from time to time, and Sativum is obligated to purchase shares of our common stock at a 6% discount to a volume weighted average market price over the 20 trading days following the draw-down notice, except those trading days, if any, when the market price is less than the amount we have specified in the draw-down notice as the minimum price at which we are willing to sell.</w:t>
      </w:r>
    </w:p>
    <w:p>
      <w:pPr>
        <w:spacing w:after="0" w:line="194" w:lineRule="exact"/>
        <w:rPr>
          <w:sz w:val="20"/>
          <w:szCs w:val="20"/>
          <w:color w:val="auto"/>
        </w:rPr>
      </w:pPr>
    </w:p>
    <w:p>
      <w:pPr>
        <w:ind w:right="2759" w:firstLine="872"/>
        <w:spacing w:after="0" w:line="246"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$1,000,000 for 2002,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 If our subtenants are unable to meet their obligations to us and we are unable to replace them, this would also have a material adverse effect on our liquidity and capital resources. Our total operating lease commitments from 2002 to 2013 are $25,141,000, and our total capital lease commitments for the years 2002 to 2014 amount to $4,107,000.</w:t>
      </w:r>
    </w:p>
    <w:p>
      <w:pPr>
        <w:spacing w:after="0" w:line="193"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881" w:gutter="0" w:footer="0" w:header="0"/>
        </w:sectPr>
      </w:pPr>
    </w:p>
    <w:bookmarkStart w:id="13" w:name="page14"/>
    <w:bookmarkEnd w:id="13"/>
    <w:p>
      <w:pPr>
        <w:ind w:right="2559"/>
        <w:spacing w:after="0" w:line="247" w:lineRule="auto"/>
        <w:rPr>
          <w:sz w:val="20"/>
          <w:szCs w:val="20"/>
          <w:color w:val="auto"/>
        </w:rPr>
      </w:pPr>
      <w:r>
        <w:rPr>
          <w:rFonts w:ascii="Courier New" w:cs="Courier New" w:eastAsia="Courier New" w:hAnsi="Courier New"/>
          <w:sz w:val="16"/>
          <w:szCs w:val="16"/>
          <w:color w:val="auto"/>
        </w:rPr>
        <w:t>product sales, we must rely on cash reserves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While our cash requirements may vary, we currently expect that our existing capital resources will be sufficient to fund our operations through December of 2002. Lack of necessary funds may require us to delay, scale back or eliminate some or all of our research and product development programs and/or our capital expenditures or to license our potential products or technologies to third parties.</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91" w:lineRule="exact"/>
        <w:rPr>
          <w:sz w:val="20"/>
          <w:szCs w:val="20"/>
          <w:color w:val="auto"/>
        </w:rPr>
      </w:pPr>
    </w:p>
    <w:p>
      <w:pPr>
        <w:ind w:right="3500" w:firstLine="484"/>
        <w:spacing w:after="0" w:line="248" w:lineRule="auto"/>
        <w:rPr>
          <w:sz w:val="20"/>
          <w:szCs w:val="20"/>
          <w:color w:val="auto"/>
        </w:rPr>
      </w:pPr>
      <w:r>
        <w:rPr>
          <w:rFonts w:ascii="Courier New" w:cs="Courier New" w:eastAsia="Courier New" w:hAnsi="Courier New"/>
          <w:sz w:val="16"/>
          <w:szCs w:val="16"/>
          <w:color w:val="auto"/>
        </w:rPr>
        <w:t>No significant changes in our quantitative and qualitative disclosures from the Form 10-K/A.</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ITEM 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ITEM 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 IN SECURITIES AND USE OF PROCEEDS</w:t>
      </w:r>
    </w:p>
    <w:p>
      <w:pPr>
        <w:spacing w:after="0" w:line="191" w:lineRule="exact"/>
        <w:rPr>
          <w:sz w:val="20"/>
          <w:szCs w:val="20"/>
          <w:color w:val="auto"/>
        </w:rPr>
      </w:pPr>
    </w:p>
    <w:p>
      <w:pPr>
        <w:ind w:right="3300" w:firstLine="872"/>
        <w:spacing w:after="0" w:line="246" w:lineRule="auto"/>
        <w:rPr>
          <w:sz w:val="20"/>
          <w:szCs w:val="20"/>
          <w:color w:val="auto"/>
        </w:rPr>
      </w:pPr>
      <w:r>
        <w:rPr>
          <w:rFonts w:ascii="Courier New" w:cs="Courier New" w:eastAsia="Courier New" w:hAnsi="Courier New"/>
          <w:sz w:val="16"/>
          <w:szCs w:val="16"/>
          <w:color w:val="auto"/>
        </w:rPr>
        <w:t>The Company and one of its patent law firms have agreed that, effective for services rendered after April 1 2002, a limited part of fees payable may, at the Company's option, be paid in the form of shares of common stock of the Company. The number of shares payable is determined by dividing the cash fees payable by the closing price of the Company's common stock on the Nasdaq National Market on the last trading day of the calendar quarter immediately preceding the earlier of (1) the date upon which the invoice in respect of such fees is paid and (2) thirty days following the invoice date. A reserve of 250,00 shares of the Company's unregistered common stock has been established from which stock used for such payments may be issued. At June 30, 2002, the Company accrued $16,611 of such legal expenses to be paid in 10,254 shares of the Company's common stock. The sale of these shares was made in reliance on the exemption from the registration provisions of the Securities Act provided for by Section 4(2) thereof for transactions not involving a public offering.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ITEM 4</w:t>
      </w:r>
    </w:p>
    <w:p>
      <w:pPr>
        <w:spacing w:after="0" w:line="191" w:lineRule="exact"/>
        <w:rPr>
          <w:sz w:val="20"/>
          <w:szCs w:val="20"/>
          <w:color w:val="auto"/>
        </w:rPr>
      </w:pPr>
    </w:p>
    <w:p>
      <w:pPr>
        <w:ind w:right="3000"/>
        <w:spacing w:after="0" w:line="246" w:lineRule="auto"/>
        <w:rPr>
          <w:sz w:val="20"/>
          <w:szCs w:val="20"/>
          <w:color w:val="auto"/>
        </w:rPr>
      </w:pPr>
      <w:r>
        <w:rPr>
          <w:rFonts w:ascii="Courier New" w:cs="Courier New" w:eastAsia="Courier New" w:hAnsi="Courier New"/>
          <w:sz w:val="16"/>
          <w:szCs w:val="16"/>
          <w:color w:val="auto"/>
        </w:rPr>
        <w:t>On May 2, 2002, we held our Annual Meeting of Shareholders. Irving Weissman, M.D. and Ricardo B. Levy, Ph.D. were re-elected to the Board as class II directors, with terms expiring in 2005. The remaining members of the Board, whose terms continued after the Annual Meeting, are Roger Perlmutter, M.D., Ph.D., John Schwartz, Ph.D., Mark Levin, and Martin McGlynn, President and CEO of StemCells. (On July 4, 2002, however, Mr. Levin resigned from the Board and Jean-Jacques Bienaime was appointed to it.) The shareholders also ratified the selection of Ernst &amp; Young LLP as StemCells' independent public accountants for the fiscal year ending December 31, 2002. Finally, the shareholders approved the amendment of Article 4 of the Company's Certificate of Incorporation to increase the number of shares of Common Stock, par value $0.01 per share, that the Company is authorized to issue from 45,000,000 to 75,000,000 shares.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votes on these matters were as follows: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w:t>
      </w:r>
    </w:p>
    <w:p>
      <w:pPr>
        <w:spacing w:after="0" w:line="5" w:lineRule="exact"/>
        <w:rPr>
          <w:sz w:val="20"/>
          <w:szCs w:val="20"/>
          <w:color w:val="auto"/>
        </w:rPr>
      </w:pPr>
    </w:p>
    <w:p>
      <w:pPr>
        <w:ind w:left="5240"/>
        <w:spacing w:after="0"/>
        <w:tabs>
          <w:tab w:leader="none" w:pos="6080" w:val="left"/>
          <w:tab w:leader="none" w:pos="7340" w:val="left"/>
          <w:tab w:leader="none" w:pos="8320" w:val="left"/>
          <w:tab w:leader="none" w:pos="9660"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Authority</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r>
        <w:rPr>
          <w:sz w:val="20"/>
          <w:szCs w:val="20"/>
          <w:color w:val="auto"/>
        </w:rPr>
        <w:tab/>
      </w:r>
      <w:r>
        <w:rPr>
          <w:rFonts w:ascii="Courier New" w:cs="Courier New" w:eastAsia="Courier New" w:hAnsi="Courier New"/>
          <w:sz w:val="16"/>
          <w:szCs w:val="16"/>
          <w:color w:val="auto"/>
        </w:rPr>
        <w:t>Broker</w:t>
      </w:r>
    </w:p>
    <w:p>
      <w:pPr>
        <w:spacing w:after="0" w:line="5" w:lineRule="exact"/>
        <w:rPr>
          <w:sz w:val="20"/>
          <w:szCs w:val="20"/>
          <w:color w:val="auto"/>
        </w:rPr>
      </w:pPr>
    </w:p>
    <w:p>
      <w:pPr>
        <w:ind w:left="6200"/>
        <w:spacing w:after="0"/>
        <w:tabs>
          <w:tab w:leader="none" w:pos="9480" w:val="left"/>
        </w:tabs>
        <w:rPr>
          <w:sz w:val="20"/>
          <w:szCs w:val="20"/>
          <w:color w:val="auto"/>
        </w:rPr>
      </w:pPr>
      <w:r>
        <w:rPr>
          <w:rFonts w:ascii="Courier New" w:cs="Courier New" w:eastAsia="Courier New" w:hAnsi="Courier New"/>
          <w:sz w:val="16"/>
          <w:szCs w:val="16"/>
          <w:color w:val="auto"/>
        </w:rPr>
        <w:t>Withheld</w:t>
      </w:r>
      <w:r>
        <w:rPr>
          <w:sz w:val="20"/>
          <w:szCs w:val="20"/>
          <w:color w:val="auto"/>
        </w:rPr>
        <w:tab/>
      </w:r>
      <w:r>
        <w:rPr>
          <w:rFonts w:ascii="Courier New" w:cs="Courier New" w:eastAsia="Courier New" w:hAnsi="Courier New"/>
          <w:sz w:val="16"/>
          <w:szCs w:val="16"/>
          <w:color w:val="auto"/>
        </w:rPr>
        <w:t>Non-Votes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0" w:type="dxa"/>
            <w:vAlign w:val="bottom"/>
          </w:tcPr>
          <w:p>
            <w:pPr>
              <w:spacing w:after="0"/>
              <w:rPr>
                <w:sz w:val="20"/>
                <w:szCs w:val="20"/>
                <w:color w:val="auto"/>
              </w:rPr>
            </w:pPr>
            <w:r>
              <w:rPr>
                <w:rFonts w:ascii="Courier New" w:cs="Courier New" w:eastAsia="Courier New" w:hAnsi="Courier New"/>
                <w:sz w:val="16"/>
                <w:szCs w:val="16"/>
                <w:color w:val="auto"/>
              </w:rPr>
              <w:t>Election of Irving Weissman, M.D. as director</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19,726,277   159,977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20"/>
                <w:szCs w:val="20"/>
                <w:color w:val="auto"/>
              </w:rPr>
            </w:pPr>
            <w:r>
              <w:rPr>
                <w:rFonts w:ascii="Courier New" w:cs="Courier New" w:eastAsia="Courier New" w:hAnsi="Courier New"/>
                <w:sz w:val="16"/>
                <w:szCs w:val="16"/>
                <w:color w:val="auto"/>
              </w:rPr>
              <w:t>Election of Ricardo B. Levy, Ph.D. as director</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19,729,241   157,013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Ratification of Ernst &amp;</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Young LLP as</w:t>
            </w:r>
          </w:p>
        </w:tc>
        <w:tc>
          <w:tcPr>
            <w:tcW w:w="23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19,769,596</w:t>
            </w:r>
          </w:p>
        </w:tc>
        <w:tc>
          <w:tcPr>
            <w:tcW w:w="156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56,969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59,689</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independent accountants</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for 2002</w:t>
            </w:r>
          </w:p>
        </w:tc>
        <w:tc>
          <w:tcPr>
            <w:tcW w:w="2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Approval of the increase in</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the number</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1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18,874,044</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892,811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119,399</w:t>
            </w:r>
          </w:p>
        </w:tc>
      </w:tr>
      <w:tr>
        <w:trPr>
          <w:trHeight w:val="186"/>
        </w:trPr>
        <w:tc>
          <w:tcPr>
            <w:tcW w:w="2660" w:type="dxa"/>
            <w:vAlign w:val="bottom"/>
          </w:tcPr>
          <w:p>
            <w:pPr>
              <w:spacing w:after="0"/>
              <w:rPr>
                <w:sz w:val="20"/>
                <w:szCs w:val="20"/>
                <w:color w:val="auto"/>
              </w:rPr>
            </w:pPr>
            <w:r>
              <w:rPr>
                <w:rFonts w:ascii="Courier New" w:cs="Courier New" w:eastAsia="Courier New" w:hAnsi="Courier New"/>
                <w:sz w:val="16"/>
                <w:szCs w:val="16"/>
                <w:color w:val="auto"/>
              </w:rPr>
              <w:t>shares of Common Stock from</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45,000,000</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2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2660" w:type="dxa"/>
            <w:vAlign w:val="bottom"/>
          </w:tcPr>
          <w:p>
            <w:pPr>
              <w:spacing w:after="0"/>
              <w:rPr>
                <w:sz w:val="20"/>
                <w:szCs w:val="20"/>
                <w:color w:val="auto"/>
              </w:rPr>
            </w:pPr>
            <w:r>
              <w:rPr>
                <w:rFonts w:ascii="Courier New" w:cs="Courier New" w:eastAsia="Courier New" w:hAnsi="Courier New"/>
                <w:sz w:val="16"/>
                <w:szCs w:val="16"/>
                <w:color w:val="auto"/>
              </w:rPr>
              <w:t>75,000,000 shares</w:t>
            </w: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w:t>
      </w:r>
    </w:p>
    <w:p>
      <w:pPr>
        <w:spacing w:after="0" w:line="200" w:lineRule="exact"/>
        <w:rPr>
          <w:sz w:val="20"/>
          <w:szCs w:val="20"/>
          <w:color w:val="auto"/>
        </w:rPr>
      </w:pPr>
    </w:p>
    <w:p>
      <w:pPr>
        <w:spacing w:after="0" w:line="36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PART II - ITEM 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760"/>
          </w:cols>
          <w:pgMar w:left="240" w:top="676" w:right="89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PART II - ITEM 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AND REPORTS ON FORM 8-K</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None</w:t>
      </w:r>
    </w:p>
    <w:p>
      <w:pPr>
        <w:spacing w:after="0" w:line="378"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6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SIGNATURE</w:t>
      </w:r>
    </w:p>
    <w:p>
      <w:pPr>
        <w:spacing w:after="0" w:line="378"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STEMCELLS, INC.</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(Name of Registrant)</w:t>
      </w:r>
    </w:p>
    <w:p>
      <w:pPr>
        <w:sectPr>
          <w:pgSz w:w="11900" w:h="16838" w:orient="portrait"/>
          <w:cols w:equalWidth="0" w:num="1">
            <w:col w:w="10219"/>
          </w:cols>
          <w:pgMar w:left="240"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George Koshy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 and Acting Chief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(Duly authorized officer,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and principal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0"/>
          <w:szCs w:val="20"/>
          <w:color w:val="auto"/>
        </w:rPr>
      </w:pPr>
    </w:p>
    <w:p>
      <w:pPr>
        <w:sectPr>
          <w:pgSz w:w="11900" w:h="16838" w:orient="portrait"/>
          <w:cols w:equalWidth="0" w:num="2">
            <w:col w:w="2760" w:space="720"/>
            <w:col w:w="6739"/>
          </w:cols>
          <w:pgMar w:left="240" w:top="676" w:right="1440" w:bottom="1440" w:gutter="0" w:footer="0" w:header="0"/>
          <w:type w:val="continuous"/>
        </w:sectPr>
      </w:pP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type w:val="continuous"/>
        </w:sectPr>
      </w:pPr>
    </w:p>
    <w:bookmarkStart w:id="17" w:name="page18"/>
    <w:bookmarkEnd w:id="17"/>
    <w:p>
      <w:pPr>
        <w:ind w:left="3300"/>
        <w:spacing w:after="0"/>
        <w:rPr>
          <w:sz w:val="20"/>
          <w:szCs w:val="20"/>
          <w:color w:val="auto"/>
        </w:rPr>
      </w:pPr>
      <w:r>
        <w:rPr>
          <w:rFonts w:ascii="Courier New" w:cs="Courier New" w:eastAsia="Courier New" w:hAnsi="Courier New"/>
          <w:sz w:val="16"/>
          <w:szCs w:val="16"/>
          <w:color w:val="auto"/>
        </w:rPr>
        <w:t>Certification</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To the extent required by the Sarbanes-Oxley Act of 2002, each of the undersigned hereby certifies, to their knowledge, that (i) this report fully complies with the requirements of Section 13(a) of the Securities Exchange Act of 1934 and (ii) the information contained in this report fairly presents, in all material respects, the financial condition and results of operations of the registrant.</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 Martin McGlynn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Martin McGlynn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6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 George Koshy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 Koshy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 and Acting Chief Financial Officer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 2002</w:t>
      </w:r>
    </w:p>
    <w:sectPr>
      <w:pgSz w:w="11900" w:h="16838" w:orient="portrait"/>
      <w:cols w:equalWidth="0" w:num="1">
        <w:col w:w="10219"/>
      </w:cols>
      <w:pgMar w:left="240" w:top="8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2019-12-13T21:53:16Z</dcterms:created>
  <dcterms:modified xsi:type="dcterms:W3CDTF">2019-12-13T21:53:16Z</dcterms:modified>
</cp:coreProperties>
</file>