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620" w:hanging="1413"/>
        <w:spacing w:after="0"/>
        <w:tabs>
          <w:tab w:leader="none" w:pos="1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36" w:lineRule="exact"/>
        <w:rPr>
          <w:rFonts w:ascii="Arial" w:cs="Arial" w:eastAsia="Arial" w:hAnsi="Arial"/>
          <w:sz w:val="17"/>
          <w:szCs w:val="17"/>
          <w:color w:val="auto"/>
        </w:rPr>
      </w:pPr>
    </w:p>
    <w:p>
      <w:pPr>
        <w:ind w:left="4340"/>
        <w:spacing w:after="0"/>
        <w:rPr>
          <w:rFonts w:ascii="Arial" w:cs="Arial" w:eastAsia="Arial" w:hAnsi="Arial"/>
          <w:sz w:val="17"/>
          <w:szCs w:val="17"/>
          <w:color w:val="auto"/>
        </w:rPr>
      </w:pPr>
      <w:r>
        <w:rPr>
          <w:rFonts w:ascii="Arial" w:cs="Arial" w:eastAsia="Arial" w:hAnsi="Arial"/>
          <w:sz w:val="18"/>
          <w:szCs w:val="18"/>
          <w:b w:val="1"/>
          <w:bCs w:val="1"/>
          <w:color w:val="auto"/>
        </w:rPr>
        <w:t>For the fiscal year ended December 31, 2018</w:t>
      </w:r>
    </w:p>
    <w:p>
      <w:pPr>
        <w:sectPr>
          <w:pgSz w:w="11900" w:h="16840" w:orient="portrait"/>
          <w:cols w:equalWidth="0" w:num="1">
            <w:col w:w="11420"/>
          </w:cols>
          <w:pgMar w:left="240" w:top="747" w:right="239" w:bottom="0" w:gutter="0" w:footer="0" w:header="0"/>
        </w:sectPr>
      </w:pPr>
    </w:p>
    <w:p>
      <w:pPr>
        <w:spacing w:after="0" w:line="22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sectPr>
          <w:pgSz w:w="11900" w:h="16840" w:orient="portrait"/>
          <w:cols w:equalWidth="0" w:num="2">
            <w:col w:w="720" w:space="720"/>
            <w:col w:w="9980"/>
          </w:cols>
          <w:pgMar w:left="240" w:top="747" w:right="239" w:bottom="0" w:gutter="0" w:footer="0" w:header="0"/>
          <w:type w:val="continuous"/>
        </w:sectPr>
      </w:pPr>
    </w:p>
    <w:p>
      <w:pPr>
        <w:spacing w:after="0" w:line="48"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For the transition period from ____ to 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40" w:orient="portrait"/>
          <w:cols w:equalWidth="0" w:num="1">
            <w:col w:w="11420"/>
          </w:cols>
          <w:pgMar w:left="240" w:top="747" w:right="239" w:bottom="0" w:gutter="0" w:footer="0" w:header="0"/>
          <w:type w:val="continuous"/>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2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8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40" w:orient="portrait"/>
          <w:cols w:equalWidth="0" w:num="2">
            <w:col w:w="7240" w:space="720"/>
            <w:col w:w="3460"/>
          </w:cols>
          <w:pgMar w:left="240" w:top="747" w:right="2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(Address including zip code of registrant’s Principal Executive Offices)</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under Section 12(b) of the Act:</w:t>
      </w:r>
    </w:p>
    <w:p>
      <w:pPr>
        <w:sectPr>
          <w:pgSz w:w="11900" w:h="16840" w:orient="portrait"/>
          <w:cols w:equalWidth="0" w:num="1">
            <w:col w:w="11420"/>
          </w:cols>
          <w:pgMar w:left="240" w:top="747" w:right="239" w:bottom="0" w:gutter="0" w:footer="0" w:header="0"/>
          <w:type w:val="continuous"/>
        </w:sectPr>
      </w:pPr>
    </w:p>
    <w:p>
      <w:pPr>
        <w:spacing w:after="0" w:line="22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NASDAQ Capital Market</w:t>
      </w:r>
    </w:p>
    <w:p>
      <w:pPr>
        <w:spacing w:after="0" w:line="200" w:lineRule="exact"/>
        <w:rPr>
          <w:sz w:val="24"/>
          <w:szCs w:val="24"/>
          <w:color w:val="auto"/>
        </w:rPr>
      </w:pPr>
    </w:p>
    <w:p>
      <w:pPr>
        <w:sectPr>
          <w:pgSz w:w="11900" w:h="16840" w:orient="portrait"/>
          <w:cols w:equalWidth="0" w:num="2">
            <w:col w:w="6240" w:space="720"/>
            <w:col w:w="4460"/>
          </w:cols>
          <w:pgMar w:left="240" w:top="747"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months/(or for such shorter period that the registrant was required to submit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1420"/>
          </w:cols>
          <w:pgMar w:left="240" w:top="747" w:right="239" w:bottom="0" w:gutter="0" w:footer="0" w:header="0"/>
          <w:type w:val="continuous"/>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40" w:orient="portrait"/>
          <w:cols w:equalWidth="0" w:num="2">
            <w:col w:w="6540" w:space="720"/>
            <w:col w:w="4160"/>
          </w:cols>
          <w:pgMar w:left="240" w:top="747" w:right="239" w:bottom="0" w:gutter="0" w:footer="0" w:header="0"/>
          <w:type w:val="continuous"/>
        </w:sectPr>
      </w:pPr>
    </w:p>
    <w:p>
      <w:pPr>
        <w:spacing w:after="0" w:line="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w:t>
      </w:r>
    </w:p>
    <w:p>
      <w:pPr>
        <w:sectPr>
          <w:pgSz w:w="11900" w:h="16840" w:orient="portrait"/>
          <w:cols w:equalWidth="0" w:num="1">
            <w:col w:w="11420"/>
          </w:cols>
          <w:pgMar w:left="240" w:top="747"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fiscal quarter: approximately $25,919,740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as of March 28, 2019: 4,307,580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INFORMATION CONCERNING FORWARD-LOOKING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00" w:type="dxa"/>
            <w:vAlign w:val="bottom"/>
            <w:gridSpan w:val="1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300" w:type="dxa"/>
            <w:vAlign w:val="bottom"/>
            <w:gridSpan w:val="9"/>
            <w:shd w:val="clear" w:color="auto" w:fill="CCEEFF"/>
          </w:tcPr>
          <w:p>
            <w:pPr>
              <w:jc w:val="center"/>
              <w:ind w:right="4720"/>
              <w:spacing w:after="0" w:line="162"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4760" w:type="dxa"/>
            <w:vAlign w:val="bottom"/>
            <w:tcBorders>
              <w:top w:val="single" w:sz="8" w:color="CCEEFF"/>
            </w:tcBorders>
            <w:gridSpan w:val="18"/>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5"/>
                <w:szCs w:val="15"/>
                <w:color w:val="auto"/>
              </w:rPr>
            </w:pPr>
          </w:p>
        </w:tc>
        <w:tc>
          <w:tcPr>
            <w:tcW w:w="47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40" w:type="dxa"/>
            <w:vAlign w:val="bottom"/>
            <w:gridSpan w:val="10"/>
            <w:shd w:val="clear" w:color="auto" w:fill="CCEEFF"/>
          </w:tcPr>
          <w:p>
            <w:pPr>
              <w:jc w:val="center"/>
              <w:ind w:right="4680"/>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700" w:type="dxa"/>
            <w:vAlign w:val="bottom"/>
            <w:gridSpan w:val="12"/>
            <w:shd w:val="clear" w:color="auto" w:fill="CCEEFF"/>
          </w:tcPr>
          <w:p>
            <w:pPr>
              <w:jc w:val="center"/>
              <w:ind w:right="4300"/>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10.</w:t>
            </w:r>
          </w:p>
        </w:tc>
        <w:tc>
          <w:tcPr>
            <w:tcW w:w="4700" w:type="dxa"/>
            <w:vAlign w:val="bottom"/>
            <w:tcBorders>
              <w:top w:val="single" w:sz="8" w:color="CCEEFF"/>
            </w:tcBorders>
            <w:gridSpan w:val="16"/>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720" w:type="dxa"/>
            <w:vAlign w:val="bottom"/>
            <w:tcBorders>
              <w:top w:val="single" w:sz="8" w:color="0000EE"/>
            </w:tcBorders>
            <w:gridSpan w:val="5"/>
          </w:tcPr>
          <w:p>
            <w:pPr>
              <w:spacing w:after="0"/>
              <w:rPr>
                <w:sz w:val="15"/>
                <w:szCs w:val="15"/>
                <w:color w:val="auto"/>
              </w:rPr>
            </w:pPr>
          </w:p>
        </w:tc>
        <w:tc>
          <w:tcPr>
            <w:tcW w:w="46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10060" w:type="dxa"/>
            <w:vAlign w:val="bottom"/>
            <w:gridSpan w:val="27"/>
          </w:tcPr>
          <w:p>
            <w:pPr>
              <w:ind w:left="6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360" w:type="dxa"/>
            <w:vAlign w:val="bottom"/>
            <w:gridSpan w:val="11"/>
          </w:tcPr>
          <w:p>
            <w:pPr>
              <w:jc w:val="center"/>
              <w:ind w:right="4640"/>
              <w:spacing w:after="0" w:line="17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10060" w:type="dxa"/>
            <w:vAlign w:val="bottom"/>
            <w:gridSpan w:val="27"/>
            <w:shd w:val="clear" w:color="auto" w:fill="CCEEFF"/>
          </w:tcPr>
          <w:p>
            <w:pPr>
              <w:ind w:left="6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 and Financial Statement Schedules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REFERENCES TO OUR COMPANY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this Form 10-K, the words “we,” “us,” “our,” the “Company” and “Microbot” refer to Microbot Medical Inc., including our directly and indirectly wholly-owned subsidiaries and, unless the context otherwise requires, the historical business, financial statements and operations of Microbot are of Microbot Medical Ltd., an Israeli corporation (“Microbot Israel”) which became a wholly-owned subsidiary of the Company on November 28, 2016. “StemCells” or “StemCells, Inc.” refers to the Company prior to its merger transaction with Microbot Israel.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30 issued/allowed patents and 21 patent applications pending worldwide.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Annual Report on Form 10-K that occurred prior to these reverse splits have been adjusted to give retrospective effect to the reverse splits.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Minimally Invasive Endovascular Neurosurgery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believes that with its portfolio of technologies specifically CardioSert and TipCAT, it is well-positioned to explore and develop such technologies as neurovascular access devices, with a focus on improving the ease and access and enhancing the safety of endovascular neurosurgery.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Microbot has completed the development of an SCS prototype and is currently continuing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study and a small animal study. The in-vitro study, which was performed at Wayne State University by Dr. Carolyn Harris, supports the SCS’s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conjunction with initiating this follow-up study, Microbot also contracted with Envigo CRS Israel, a leading provider of non-clinical contract research services, to conduct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and/or NPH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line="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Currently, Microbot is not pursuing the development of the TipCAT as a colonoscopy tool due to its focus on the endovascular neurosurgery space, and as such it is currently exploring the use of the TipCAT for minimally invasive endovascular neurosurgical applications to complement its other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CardioSert was part of a technological incubator supported by the Israel Innovation Authorities (formerly known as the Office of the Chief Scientist, or OCS), and a device based on the technology has successfully completed pre-clinical testing. Although the CardioSert technology was originally developed to support interventional cardiologists in crossing chronic total occlusions (CTO) during percutaneous coronary intervention (PCI) procedures, it has the potential to be used in other spaces and applications, such as neurosurgery which Microbot will be focusing 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goal is to generate sales of its products, once they have received regulatory approval, by establishing SCS and TipCAT devices as the standard-of-care in the eyes of doctors, surgeons, patients and medical facilities, as well as getting the support of payors and insurance companies. Microbot believes that it can achieve this objective by working with hospitals to demonstrate the key benefits of its products. Microbot’s strategy includes the following key elements:</w:t>
      </w:r>
    </w:p>
    <w:p>
      <w:pPr>
        <w:spacing w:after="0" w:line="183" w:lineRule="exact"/>
        <w:rPr>
          <w:sz w:val="20"/>
          <w:szCs w:val="20"/>
          <w:color w:val="auto"/>
        </w:rPr>
      </w:pPr>
    </w:p>
    <w:p>
      <w:pPr>
        <w:jc w:val="both"/>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Continue to refine existing product candidates and develop additional micro-robotic solutions</w:t>
      </w:r>
      <w:r>
        <w:rPr>
          <w:rFonts w:ascii="Arial" w:cs="Arial" w:eastAsia="Arial" w:hAnsi="Arial"/>
          <w:sz w:val="18"/>
          <w:szCs w:val="18"/>
          <w:color w:val="auto"/>
        </w:rPr>
        <w:t>. As Microbot prepares to bring its initial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through pre-clinical and clinical trials, if necessary, and eventually to market, it continues to focus on improving its product candidates to respond to clinical data and patient and physician feedback. Microbot also expects to continue to innovate in the micro-robotics field by continuing to find ways of using its technology to solve unmet needs, with the overarching goal of providing a safer, more effective and more efficient surgical environment for patients and physicians.</w:t>
      </w:r>
    </w:p>
    <w:p>
      <w:pPr>
        <w:spacing w:after="0" w:line="183"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Establish and leverage relationships with key institutions and leading clinicians</w:t>
      </w:r>
      <w:r>
        <w:rPr>
          <w:rFonts w:ascii="Arial" w:cs="Arial" w:eastAsia="Arial" w:hAnsi="Arial"/>
          <w:sz w:val="18"/>
          <w:szCs w:val="18"/>
          <w:color w:val="auto"/>
        </w:rPr>
        <w:t>. Microbot intends to develop relationships with a relatively</w:t>
      </w:r>
      <w:r>
        <w:rPr>
          <w:rFonts w:ascii="Arial" w:cs="Arial" w:eastAsia="Arial" w:hAnsi="Arial"/>
          <w:sz w:val="18"/>
          <w:szCs w:val="18"/>
          <w:b w:val="1"/>
          <w:bCs w:val="1"/>
          <w:color w:val="auto"/>
        </w:rPr>
        <w:t xml:space="preserve"> </w:t>
      </w:r>
      <w:r>
        <w:rPr>
          <w:rFonts w:ascii="Arial" w:cs="Arial" w:eastAsia="Arial" w:hAnsi="Arial"/>
          <w:sz w:val="18"/>
          <w:szCs w:val="18"/>
          <w:color w:val="auto"/>
        </w:rPr>
        <w:t>small number of hospitals and clinics through its clinical stage. Microbot’s objective will be to maintain clinical focus with such hospitals and clinics so as to establish the SCS, as well as other future products, as the standard of care in such institutions for their respective procedures. Microbot also expects to identify key clinicians with hydrocephalus specialties with the expectation that such clinical focus will accelerate the adoption of its candidate products.</w:t>
      </w:r>
    </w:p>
    <w:p>
      <w:pPr>
        <w:spacing w:after="0" w:line="183"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Continuously invest in research and development</w:t>
      </w:r>
      <w:r>
        <w:rPr>
          <w:rFonts w:ascii="Arial" w:cs="Arial" w:eastAsia="Arial" w:hAnsi="Arial"/>
          <w:sz w:val="17"/>
          <w:szCs w:val="17"/>
          <w:color w:val="auto"/>
        </w:rPr>
        <w:t>. Microbot’s most significant expense has historically been research and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Microbot expects that this will continue in the foreseeable future, including expenses it expects to incur to improve on its prototype products in order to respond to clinical data, to develop additional applications using its technologies and to develop future product candidates.</w:t>
      </w:r>
    </w:p>
    <w:p>
      <w:pPr>
        <w:spacing w:after="0" w:line="158"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Explore partnerships for the introduction of Microbot’s products</w:t>
      </w:r>
      <w:r>
        <w:rPr>
          <w:rFonts w:ascii="Arial" w:cs="Arial" w:eastAsia="Arial" w:hAnsi="Arial"/>
          <w:sz w:val="17"/>
          <w:szCs w:val="17"/>
          <w:color w:val="auto"/>
        </w:rPr>
        <w:t>. Microbot intends to focus its marketing and sales efforts initially on pursuing</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5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Seek additional IP and technologies to complement and strengthen Microbot’s current IP portfolio</w:t>
      </w:r>
      <w:r>
        <w:rPr>
          <w:rFonts w:ascii="Arial" w:cs="Arial" w:eastAsia="Arial" w:hAnsi="Arial"/>
          <w:sz w:val="18"/>
          <w:szCs w:val="18"/>
          <w:color w:val="auto"/>
        </w:rPr>
        <w:t>. Microbot intends to continue exploring</w:t>
      </w:r>
      <w:r>
        <w:rPr>
          <w:rFonts w:ascii="Arial" w:cs="Arial" w:eastAsia="Arial" w:hAnsi="Arial"/>
          <w:sz w:val="18"/>
          <w:szCs w:val="18"/>
          <w:b w:val="1"/>
          <w:bCs w:val="1"/>
          <w:color w:val="auto"/>
        </w:rPr>
        <w:t xml:space="preserve"> </w:t>
      </w:r>
      <w:r>
        <w:rPr>
          <w:rFonts w:ascii="Arial" w:cs="Arial" w:eastAsia="Arial" w:hAnsi="Arial"/>
          <w:sz w:val="18"/>
          <w:szCs w:val="18"/>
          <w:color w:val="auto"/>
        </w:rPr>
        <w:t>new technologies, IP and know-how to add to its current portfolio and to allow Microbot to enter new spaces and strengthen its overall product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Opportunities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SCS is designed to prevent shunt occlusions in hydrocephalus and NPH patients who have undergone or are undergoing the surgical insertion of a shunt system. For purposes of its marketing strategy, Microbot has split the market for shunt systems into two sub-markets: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Primary shunt placement;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Shunt replacement.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SCS device is universal (meaning that it is designed to be attachable to any valve on the market); therefore, Microbot’s initial go-to-market strategy is the development of strategic partnerships with leading global medical device companies with ready sales and distribution channels. Outside of a strategic partnership, it is most likely that Microbot’s SCS product will be initially used in shunt replacement surgeries to replace occluded ventricular catheters. Accordingly, Microbot intends to establish key hospital and clinic relationships that will allow it to diffuse the technology among experts and other stakeholders. Microbot is also planning to apply for the SCS device to be covered under the current reimbursement codes in the United States for use in hydrocephalus and NPH shunt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is currently exploring the use of the TipCAT for minimally invasive endovascular neurosurgical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Microbot is currently exploring the use of the CardioSert for minimally invasive endovascular neurosurgical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Competitive Landscape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academic research groups, such as at the New Jersey Institute of Technology, are currently researching sensing and obstruction-resistant catheter designs, and the Smart Sensors and Integrated Microsystems (SSIM) Program at Wayne State University has publicized that it is engaging in smart shunt development activity. However, based on its knowledge of the patented technologies, Microbot believes that these technologies are still early in the research and development cycle. The SCS also faces non-direct competition from Aqueduct Neurosciences, Inc., which is developing a non-shunt, electro-mechanical technology platform to control the draining of cerebrospinal fluid.</w:t>
      </w:r>
    </w:p>
    <w:p>
      <w:pPr>
        <w:sectPr>
          <w:pgSz w:w="11900" w:h="16870" w:orient="portrait"/>
          <w:cols w:equalWidth="0" w:num="1">
            <w:col w:w="11420"/>
          </w:cols>
          <w:pgMar w:left="240" w:top="665" w:right="23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Microbot does not expect its SCS device to directly compete against shunt systems currently available in the market. The SCS device is designed to replace a component of existing shunt systems and is expected to be an aftermarket purchase that would be used to modify existing products by the end user. However, there can be no assurance that Microbot’s product candidate will be accepted by the shunt market as an alternative component.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Competitive Landscape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is currently exploring the use of the TipCAT for minimally invasive endovascular neurosurgical applications and has not at this time completed its evaluation of the competitive landscape for such uses.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many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Microbot’s products could also be rendered obsolete or uneconomical by technological advances developed in the future by existing or new competitors.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SCS and TipCAT are based on technological platforms licensed from The Technion Research and Development Foundation Ltd., or TRDF, as further discussed below. Microbot plans to develop other micro-robotic solutions through internal research and development, to strengthen its intellectual property position, and to continue exploring strategic collaborations and accretive acquisition opportunities. Microbot currently holds an intellectual property portfolio of 31 issued/allowed patents and 20 patent applications.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342" w:lineRule="auto"/>
        <w:rPr>
          <w:sz w:val="20"/>
          <w:szCs w:val="20"/>
          <w:color w:val="auto"/>
        </w:rPr>
      </w:pPr>
      <w:r>
        <w:rPr>
          <w:rFonts w:ascii="Arial" w:cs="Arial" w:eastAsia="Arial" w:hAnsi="Arial"/>
          <w:sz w:val="16"/>
          <w:szCs w:val="16"/>
          <w:color w:val="auto"/>
        </w:rPr>
        <w:t>Microbot’s issued U.S. patents, which cover Microbot’s product candidates, will expire between 2026 and 2033, not including any patent term adjustments that may be available. Issued patents outside of the United States directed to Microbot’s product candidates will expire between 2026 and 2032.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Technion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director of and advisor to the Company, and in certain circumstances other TRDF-related persons. Pursuant to the terms of the license agreement, in order to maintain the license with respect to each platform, Microbot must use commercially reasonable efforts to develop products covered by the license, including meeting certain agreed upon development milestones. The milestones for SCS include commencing initial studies in humans by December 2019. The milestones for TipCAT include commencing initial studies in humans, if needed, by December 2019 and commencing a full clinical trial, if necessary, by December 2020. Failure to meet any development milestone will give TRDF the right to terminate the license with respect to the technology underlying the missed milestone. Although Microbot expects to meet the milestone requirements, TRDF has demonstrated flexibility with respect to amending the terms of the license to extend the milestone dates.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partial consideration for the grant of the licenses under the agreement, Microbot issued a number of shares to TRDF equal to 3% of its issued and outstanding shares at such time on a fully diluted basis. Such shares were initially subject to antidilution protections but are no longer subject to adjustment. In addition, as partial consideration for the licenses granted, Microbot agreed to pay TRDF royalties of between 1.5% and 3.0% of net sales of products covered by the licenses, subject to certain reductions, and certain percentages of amounts received by Microbot in the event of sublicensing.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case of termination of the license by Microbot without cause or by TRDF for cause, TRDF has the right to receive a non-exclusive license from Microbot with respect to improvements to the licensed technologies made by Microbot. In such cases, TRDF would pay a royalty of 10% of the income received by TRDF in connection its sublicensing of such patent right and related intellectual property. If the license from TRDF were to be terminated with respect with either of the technology platforms underlying the SCS or the TipCAT, Microbot would no longer be able to continue its development of the related product candidate. However, Microbot believes that its current intellectual property portfolio, and its ongoing efforts to expand into other micro-robotic surgical technologies, will give it the flexibility to shift its resources towards developing and commercializing related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received funds from the Israeli Innovation Authority (formerly known as the Office of the Chief Scientist in Israel), for research and development activities. Microbot received a grant from the Israeli Innovation Authority in 2012, which grant reimbursed Microbot for 50% of its research and development expenses, up to $764,466. This first grant from the Israeli Innovation Authority ended in 2014. After the expiration of the first grant, Microbot received approval for an additional grant from the Israeli Innovation Authority which reimbursed Microbot for 50% of its research and development expenses for the period from May 1, 2014 through September 30, 2015, up to $924,166. After the expiration of the second grant, Microbot received an approval for a third grant from the Israeli Innovation Authority which reimbursed Microbot for 50% of its research and development expenses for the period from May 1, 2016 through April 30, 2017, up to $1,026,050.</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2017, Microbot was awarded an additional non-dilutive grant of up to 2,610,000 Israeli New Shekels (approximately $735,000) from the Israel Innovation Authority, of which up to 2,198,000 NIS are at a reimbursement rate of 40% and up to 412,000 NIS are at a reimbursement rate of 30%. The grant provided additional sources that were utilized by Microbot for the continued development of the SCS for the treatment of hydrocephalus and Normal Pressure Hydrocephalus. The grant funds were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For this grant, we received from the IIA a total of 991,008 NIS. The last installment of this reimbursement was received by Microbot in December 2018. No additional payments are expected from this grant. With respect to such grants from the IIA,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Microbot expects to continue to access government funding in the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ended December 31, 2018, Microbot incurred research and development expenses of approximately $2,515,000 compared to research and development expenses of approximately $1,100,000 for the fiscal year ended December 31,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already made plans to develop a second version of its SCS device that will have an embedded controller and battery, initially to support its animal trials. This alternative design will allow the cleaning mechanism to be automatically activated, without the need for the patient’s involvement in the activation process.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conjunction with initiating this follow-up study, Microbot also contracted with Envigo CRS Israel, a leading provider of non-clinical contract research services, to conduct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not yet established a sales, marketing or product distribution infrastructure for its product candidates, which are still in development stages. Microbot plans to access the U.S. markets for hydrocephalus and NPH with its initial device offerings through strategic partnerships but may develop its own focused, specialized sales force or distribution channels once it has several commercialized products in its portfolio. Microbot has not yet developed a commercial strategy outside of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 keeping procedures;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marketing.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numerous FDA regulatory requirements governing the approval or clearance and subsequent commercial marketing of Microbot’s products. These include: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timely submission of product listing and establishment registration information, along with associated establishment user fees;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clearance or approval of product modifications that could significantly affect the safety or effectiveness of the device or that would constitute a major change in intended use;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same;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notices of correction or removal and recall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7"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expect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review of predicate devices and development of data supporting the new product’s substantial equivalence to one or more predicate devices;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appropriate and required, certain types of clinical trials (IDE submission and approval may be required for conducting a clinical trial in the US).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85" w:lineRule="exact"/>
        <w:rPr>
          <w:sz w:val="20"/>
          <w:szCs w:val="20"/>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510(k) clearance letter from the FDA will authorize commercial marketing of the device for one or more specific indications for use.</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After a device receives 510(k) clearance from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 is currently evaluating whether it is appropriate for it to seek 510(k) clearance, given the technological features of the SCS device and the FDA’s recent announcements about enhancing the 510(k) process to further ensure safety and efficacy. However, the Company believes that given the similarities between the SCS and some cleared predicate devices, there is a reasonable likelihood that a de novo application might be acceptable to the FDA.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Europe</w:t>
      </w:r>
      <w:r>
        <w:rPr>
          <w:rFonts w:ascii="Arial" w:cs="Arial" w:eastAsia="Arial" w:hAnsi="Arial"/>
          <w:sz w:val="18"/>
          <w:szCs w:val="18"/>
          <w:color w:val="auto"/>
        </w:rPr>
        <w:t>. The primary regulatory body in Europe is the European Union, or E.U., which consists of 28 member states and has a coordinated system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medical devices.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E.U. has adopted legislation, in the form of directives to be implemented in each member state, concerning the regulation of medical devices within the European Union. The directives include, among others, the Medical Device Directive, or MDD, that establishes certain requirements with which medical devices must comply before they can be commercialized in the European Economic Area, or EEA (which comprises the member states of the E.U. plus Norway, Liechtenstein and Iceland). Under the MDD, medical devices are classified into four Classes, I, IIa, IIb, and III, with Class I being the lowest risk and Class III being the highest risk. However, the E.U. authorities, including the European Commission, do not have direct regulatory over medical device manufacturers under the MDD. Rather, the MDD directs E.U. Member States to implement laws and regulations consistent with the provisions set forth in the directive.</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MDD, to demonstrate compliance of a medical device with the essential requirements, manufacturers must undergo a conformity assessment procedure, which varies according to the type of medical device and its classification. An accredited body known as a “Notified Body”, which is an entity designated by an E.U. Member State (or competent authority) to perform conformity assessments, will typically audit and examine the manufacturer’s quality system for the production, quality, design and final inspection of the medical devices and review a Technical File containing technical documents regarding the device, including but limited to, detailed device description, manufacturing information, preclinical and clinical tests, risk analysis, compliance with essential requirements, etc., before issuing a certification demonstrating compliance with the essential requirements. Medical devices that comply with the essential requirements are entitled to bear the Conformité Européene, or CE Mark. Medical devices properly bearing the CE Mark may be commercially distributed throughout the EEA. Under the MDD, notified bodies are also charged with performing periodic inspections to verify that a manufacturer’s quality system, particularly the production and quality controls, is adequately executed and maintained.</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MDD requires all medical device manufacturers to inform the competent authorities of their respective Member States of the address(es) of any business facilities and descriptions of any certified medical device products. The MDD also requires manufacturers to file vigilance reports in the event a device malfunction, deterioration in performance, or inadequate instructions or labeling results in, or could lead to, death or serious harm to a patient.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2012, the European Commission published proposals for the revision of the EU regulatory framework for medical devices. The proposal would replace the MDD with a new regulation, the Medical Devices Regulation, or MDR. Unlike the MDD that must be implemented into national laws, the Medical Devices Regulation would be directly applicable in all EEA member states and so is intended to eliminate current national differences in regulation of medical devices. E.U. lawmakers published a revised draft of the proposed MDR in June 2016, which continues to be discussed within the Council of the European Union and the European Parliament.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 formal adoption is expected both by the European Council and the European Parliament during the second quarter of 2017. If finally adopted, the MDR is expected to become applicable three years thereafter. The adoption of the MDR may, however, be materially delayed due to disagreements about specific portions of the regulation, as well as the implementation process. In its current form it would, among other things, impose additional reporting requirements on manufacturers of high risk medical devices, impose an obligation on manufacturers to appoint a “qualified person” responsible for regulatory compliance, and provide for more strict clinical evidence requirements. These new rules and procedures will likely result in increased regulatory oversight of all medical devices marketed in the E.U., and this may, in turn, increase the costs, time and requirements that need to be met in order to place a medical devices on the EEA market.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Israel</w:t>
      </w:r>
      <w:r>
        <w:rPr>
          <w:rFonts w:ascii="Arial" w:cs="Arial" w:eastAsia="Arial" w:hAnsi="Arial"/>
          <w:sz w:val="18"/>
          <w:szCs w:val="18"/>
          <w:color w:val="auto"/>
        </w:rPr>
        <w:t>. Israel’s Medical Devices Law generally requires the registration of all medical products with the Ministry of Health, or MOH, Registrar as a</w:t>
      </w:r>
      <w:r>
        <w:rPr>
          <w:rFonts w:ascii="Arial" w:cs="Arial" w:eastAsia="Arial" w:hAnsi="Arial"/>
          <w:sz w:val="18"/>
          <w:szCs w:val="18"/>
          <w:b w:val="1"/>
          <w:bCs w:val="1"/>
          <w:color w:val="auto"/>
        </w:rPr>
        <w:t xml:space="preserve"> </w:t>
      </w:r>
      <w:r>
        <w:rPr>
          <w:rFonts w:ascii="Arial" w:cs="Arial" w:eastAsia="Arial" w:hAnsi="Arial"/>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and address of the manufacturer, and of the importer as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Description of the intended use of the medical device and of its medical indications;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details of the medical device and of its components, and in the event that the device or the components are not new, information should be provided on the date or renovation;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on any risk which may be associated with the use of the device (including precautionary measures to be taken);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Instructions for use of the device in Hebrew; the MOH may allow the instructions to be in English for certain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Details of the standards to which the device complies;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Description of the technical and maintenance services, including periodic checks and inspections;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 and maintain a place of business in Israel and serve as the regulatory representative.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to questions from AMAR concerning the registered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 adverse events to AMAR.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Renew the registration on time to keep the market approval active.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post-marketing requirements, including reporting of adverse and unexpected events occurring in Israel or in other countries where the device is in use.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Getting a device listed on Israel’s four major Sick Funds (health insurance entities) is also necessary in order for Israeli hospitals and health care providers to order such products.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Microbot’s Chief Executive Officer, President and Chairman, Harel Gadot, along with one full-time employee, are based in Microbot’s U.S. office located in Hingham, Massachusetts. Additionally, Microbot currently has 8 full-time employees and 1 part time employee based in its office located in Caesarea, Israel. These employees oversee day-to-day operations of the Company supporting management and leading engineering, manufacturing, intellectual property and administration functions of the Company. As required, Microbot also engages consultants to provide services to the Company, including regulatory, legal and corporate services. Microbot has no unionized employees.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currently plans to hire an additional 4-6 full-time employees within the next 12 months subject to the availability of funds, whose principal responsibilities will be the support of its operational, research and development, regulatory and clinical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1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SCS and TipCAT;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SCS, TipCAT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 is a development-stage medical device company and currently generates no revenue from product sales, and may never be able to commercialize SCS, TipCAT, the CardioSert technology or other future product candidates. Microbot does not currently have the required approvals or clearances to market or test in humans SCS, TipCAT, the CardioSert technology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a limited operating history, which may make it difficult to evaluate the prospects for the Company’s future viability.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and preparing for pre-clinical and clinical trials of the SCS and TipCAT.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will need substantial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grants and loans.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Microbot expects the research and development expenses of the Company to increase substantially in future periods as it conducts pre-clinical studies in large animals and potentially clinical trials for its product candidates, and especially if it initiates additional research programs for future product candidates, including the CardioSert technology.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will need to obtain substantial additional funding in connection with its continuing operations. If the Company is unable to raise capital when needed or on attractive terms, it could be forced to delay, reduce or eliminate its research and development programs or any future commercialization efforts.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believes that the net cash of the Company will be sufficient to fund the Company for at least 12 months and fund operations necessary to continue development activities of the SCS.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need to raise additional funds through equity offerings or otherwise in order to meet expected future liquidity needs, including the introduction of the SCS device into the hydrocephalus and NPH market. The Company’s future capital requirements, generally, will depend on many factors, including: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outcomes of the product candidates’ regulatory reviews, subsequent approvals or clearances, or other regulatory actions;</w:t>
      </w:r>
    </w:p>
    <w:p>
      <w:pPr>
        <w:spacing w:after="0" w:line="236" w:lineRule="exact"/>
        <w:rPr>
          <w:rFonts w:ascii="Arial" w:cs="Arial" w:eastAsia="Arial" w:hAnsi="Arial"/>
          <w:sz w:val="17"/>
          <w:szCs w:val="17"/>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Sabby, discussed in greater detail elsewhere in this Annual Report on Form 10-K, including our pending appeal to overturn the court’s March 2019 decision in favor of the plaintiffs, and whether other investors in the Company’s June 2017 equity financing will bring an action against the Company under similar legal theories;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to secure or establish sales, marketing and commercial manufacturing capabilities or arrangements with third parties regarding same;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Until such time, if ever, as the Company can generate substantial product revenues, it expects to finance its cash needs through a combination of equity offerings,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 These risks may also apply to Microbot’s other technologies.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Microbot’s ability to expand its technology platforms for other uses, including endovascular neurosurgery other than for the treatment of hydrocephalus, may be limited.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923"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Microbot has identified a predicate device for its lead product candidate, the SCS, which it intended to use in its 510(k) application, it may determine that a 510(k) de novo application is more appropriate for the SCS. If the Company determines to proceed with the 510(k) application and the FDA agrees with the Company’s determination, the SCS will be classified by the FDA as Class II and eligible for marketing pursuant to FDA clearance through the 510(k) application. However, in light of recent initiatives by the FDA relating to safety and efficacy,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may disagree with Microbot’s determination that the SCS is a Class II device or that the chosen predicate device (or any predicate device) is appropriate for a substantial equivalence comparison to the SCS.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the Company intended to submit a 501(k) application for its lead product candidate, the SCS, the Company is now considering that the FDA may determine that the SCS is a Class III device because there is no appropriate predicate device for substantial equivalence comparison, which would require Microbot to submit a De Novo classification request or an application for premarket approval (“PMA”). Both De Novo requests and PMA applications require applicants to prepare information and data about device safety and efficacy in addition to the 510(k) requirements, including a benefit-risk analysis, a discussion of proposed general and special controls to eliminate or mitigate device risks, and additional testing data. PMA applications almost always require data from human clinical studies, and while De Novo requests do not require human clinical study data, in most cases, such data is necessary to demonstrate that the FDA can appropriately classify the device as Class II.</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 Thus, the addition of one or more mandatory clinical trials to the development timeline for the SCS would significantly increase the costs associated with developing and commercializing the product and delay the timing of U.S. regulatory authorization.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if Microbot is required to submit a De Novo request or PMA application instead of a 510(k), the FDA review process may take significantly more time. While the FDA commits to reviewing 510(k)s in 90 days, the review period for De Novo requests and PMA applications is 150 days and 180 days, respectively. After an initial review of our De Novo request or PMA application, the FDA may request additional information or data which can significantly delay an ultimate decision on our submission.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Thus, submitting a De Novo request or PMA application for the SCS would significantly increase the costs associated with developing and commercializing the product and delay the timing of U.S. regulatory authorization. Microbot and its business, financial condition and operating results could be materially and adversely affected as a result of any such costs or delays.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including the studies now being performed by The Washington University or perceptions regarding such data, could adversely affect Microbot’s ability to obtain necessary device clearance or approval and the market’s view of Microbot’s future prospects. Failure to successfully complete these studies in a timely and cost-effective manner could have a material adverse effect on Microbot’s prospects.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Microbot has no prior experience in conducting clinical trials and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if data from such trials become necessary in order to obtain regulatory clearance or approval of our product candidates. Should the FDA or another regulatory agency in a foreign market request clinical data to support the safety and effectiveness of Microbot’s product candidates, Microbot will depend upon its ability and/or the ability of future collaborators, contract research organizations, clinical trial sites and investigators to successfully design, initiate, conduct and monitor such clinical trials.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the commercial opportunity for SCS and any other commercial products that may be developed by Microbot is smaller than Microbot anticipates, Microbot’s future revenue from SCS and such other products will be adversely affected and Microbot’s business will suffer.</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size of the commercial opportunities in any of Microbot’s target markets is smaller than it anticipates, Microbot may not be able to achieve profitability and growth. Microbot is developing SCS as a device for the treatment of hydrocephalus and NPH. Microbot expects its future revenues to be primarily derived from the sales of the SCS, which has not undergone an FDA pre-market review process necessary to commercialize the product candidate in the United States. It is difficult to predict the penetration, future growth rate or size of the market for Microbot’s product candidate.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7"/>
          <w:szCs w:val="17"/>
          <w:color w:val="auto"/>
        </w:rPr>
        <w:t>The commercial success of the SCS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Customers will be unlikely to buy the SCS unless Microbot can demonstrate that they can be produced for sale to consumers at attractive prices.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Microbot has focused primarily on research and development of the first generation versions of the SCS.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 issues or government enforcement action that has a negative effect on Microbot’s product candidates and distribution strategy;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SCS and TipCAT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SCS or TipCAT.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becoming increasingly price sensitive.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Microbot’s product offerings are used across diverse healthcare settings, they will be affected to varying degrees by the different payment systems.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Clinical outcome studies for the SCS may not provide sufficient data to make Microbot’s product candidates the standard of care.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business plan relies on the broad adoption by surgeons of the SCS for primary shunt placement procedures to prevent shunt occlusions. Although Microbot believes the occurrence of shunt occlusion complications is well known among physicians practicing in the relevant medical fields, SCS may be adopted for replacement shunt surgeries only. Neurosurgeons may adopt SCS for primary shunt placement procedures only upon additional clinical studies with longer follow up periods, if at all. It may also be necessary to provide outcome studies on the preventative capabilities of the SCS in order to convince the medical community of its safety and efficacy. Clinical studies may not show an advantage in SCS based procedures in a timely manner, or at all, and outcome studies have not been designed at this time, and may be too large and too costly for Microbot to conduct. Both situations could prevent broad adoption of the SCS and materially impact Microbot’s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923"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Microbot’s right to develop and commercialize its existing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entered into a license agreement with Technion Research and Development Foundation Ltd., or TRDF, in 2012 pursuant to which Microbot obtained an exclusive, worldwide, royalty-bearing, sub-licensable license to certain patents and inventions relating to the SCS and TipCAT technology platforms.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with respect a particular technology in the event Microbot fails to meet a development milestone associated with such technology. Therefore, the failure to meet development milestones may lead to a complete termination of the applicable license agreement and result in Microbot ceasing its development efforts for the applicable product candidate. The milestones for SCS include commencing initial studies in humans by December 2019. The milestones for TipCAT include commencing initial studies in humans by December 2019 and commencing a full clinical trial, if necessary, by December 2020. Failure to meet any development milestone will give TRDF the right to terminate the license with respect to the technology underlying the missed milestone. Although Microbot expects to meet the milestone requirements, TRDF has demonstrated flexibility with respect to amending the terms of the license to extend the milestone dates, although we can give no assurance at this time that TRDF will continue to be so flexible with respect to amending the terms of the license.</w:t>
      </w:r>
    </w:p>
    <w:p>
      <w:pPr>
        <w:sectPr>
          <w:pgSz w:w="11900" w:h="16892" w:orient="portrait"/>
          <w:cols w:equalWidth="0" w:num="1">
            <w:col w:w="11420"/>
          </w:cols>
          <w:pgMar w:left="240" w:top="665" w:right="239" w:bottom="0" w:gutter="0" w:footer="0" w:header="0"/>
        </w:sectPr>
      </w:pPr>
    </w:p>
    <w:bookmarkStart w:id="27" w:name="page28"/>
    <w:bookmarkEnd w:id="27"/>
    <w:p>
      <w:pPr>
        <w:jc w:val="center"/>
        <w:ind w:right="-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 w:name="page29"/>
    <w:bookmarkEnd w:id="28"/>
    <w:p>
      <w:pPr>
        <w:jc w:val="both"/>
        <w:spacing w:after="0" w:line="302"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TRDF were to terminate the license agreement or if Microbot was to otherwise lose the ability to exploit the licensed patents, Microbot’s competitive advantage could be reduced or terminated, and Microbot will likely not be able to find a source to replace the licensed technology.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if there is any future dispute between Microbot and TRDF regarding the respective parties’ rights under the license agreement, Microbot’s ability to develop and commercialize the SCS and TipCAT may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facilities located in Israel. In addition, three of its seven directors (one of whom is also its Chief Operating Officer) and its Chief Financial Officer, are residents of Israel. Accordingly, political, economic and military conditions in Israel will directly or indirectly affect Microbot’s operations and results.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Microbot’s research and development efforts from inception until now have been financed in part through such Israeli Innovation Authority royalty bearing grants in an aggregate amount of approximately $1,247,000 through December 31, 2018. 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acquirors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right="20"/>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of shares upon exercise of outstanding warrants and options could cause immediate and substantial dilution to existing stockholders.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litigation and may be subject to similar or other litigation in the future, which may divert management’s attention and have a material adverse effect on our business, financial condition and results of operations.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were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or the Financing, of which the Plaintiffs participated. The complaint sought rescission of the SPA and return of the Plaintiffs’ $3,375,000 purchase price with respect to the Financing, and damages in an amount to be determined at trial, but alleged to exceed $1 million. 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 million. On March 27, 2019, the Company filed a Notice of Appeal and an Undertaking to stay execution of the judgment pending appeal. However, management is unable to assess the likelihood that we would be successful in the appeal. Accordingly, no assurance can be given that any adverse outcome would not be material to our consolidated financial position. Additionally, in the event we lose our appeals, we will likely be required to use the proceeds from recent offerings or available cash towards payment of damages and interest on the damages from the date of the decision to the Plaintiffs, and to the Other Investors described below if and to the extent they bring similar lawsuits against us and prevail or if we settle the Sabby litigation,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Microbot’s principal executive office is located at 25 Recreation Drive, Unit 108, Hingham, MA 02043. Microbot also occupies facilities in premises of approximately 6,000 square feet at 8 Hatochen Street,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Caesarea, Israel. This facility is expected to provide the space and infrastructure necessary to accommodate its development work based on its current operating plan. Microbot does not own any real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Sabby 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were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or the Financing, of which the Plaintiffs participated. The complaint sought rescission of the SPA and return of the Plaintiffs’ $3,375,000 purchase price with respect to the Financing, and damages in an amount to be determined at trial, but alleged to exceed $1 million. 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 million. On March 27, 2019, the Company filed a Notice of Appeal and an Undertaking to stay execution of the judgment pending appeal. However, management is unable to assess the likelihood of the likelihood that we would be successful in the appeal. Accordingly, no assurance can be given that any adverse outcome would not be material to our consolidated financial position. Additionally, in the event we lose our appeals, we will likely be required to use the proceeds from recent offerings or available cash towards payment of damages and interest on the damages from the date of the decision to the Plaintiffs, and to the Other Investors described below if and to the extent they bring similar lawsuits against us and prevail or if we settle the Sabby litigation,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Litigation Under 15 U.S.C. §78p(b)</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intend to bring an action against a former shareholder for recovery of short swing profits under 15 U.S.C. §78p(b). As of the time of filing this Annual Report on Form 10-K, we have not yet filed the complaint or initiated the action, but we intend to do so shortly after such date.</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 The following table sets forth for the periods indicated, the high and low closing prices of our common stock on the NASDAQ Capital Market.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40"/>
              <w:spacing w:after="0"/>
              <w:rPr>
                <w:sz w:val="20"/>
                <w:szCs w:val="20"/>
                <w:color w:val="auto"/>
              </w:rPr>
            </w:pPr>
            <w:r>
              <w:rPr>
                <w:rFonts w:ascii="Arial" w:cs="Arial" w:eastAsia="Arial" w:hAnsi="Arial"/>
                <w:sz w:val="18"/>
                <w:szCs w:val="18"/>
                <w:b w:val="1"/>
                <w:bCs w:val="1"/>
                <w:color w:val="auto"/>
                <w:w w:val="94"/>
              </w:rPr>
              <w:t>High</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390"/>
        </w:trPr>
        <w:tc>
          <w:tcPr>
            <w:tcW w:w="3840" w:type="dxa"/>
            <w:vAlign w:val="bottom"/>
          </w:tcPr>
          <w:p>
            <w:pPr>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 (through March 28, 2019)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19.40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319"/>
        </w:trPr>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8"/>
                <w:szCs w:val="18"/>
                <w:b w:val="1"/>
                <w:bCs w:val="1"/>
                <w:color w:val="auto"/>
              </w:rPr>
              <w:t>High</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Low</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2018:</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57"/>
        </w:trPr>
        <w:tc>
          <w:tcPr>
            <w:tcW w:w="3840" w:type="dxa"/>
            <w:vAlign w:val="bottom"/>
          </w:tcPr>
          <w:p>
            <w:pPr>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9.97</w:t>
            </w:r>
          </w:p>
        </w:tc>
      </w:tr>
      <w:tr>
        <w:trPr>
          <w:trHeight w:val="257"/>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r>
      <w:tr>
        <w:trPr>
          <w:trHeight w:val="257"/>
        </w:trPr>
        <w:tc>
          <w:tcPr>
            <w:tcW w:w="3840" w:type="dxa"/>
            <w:vAlign w:val="bottom"/>
          </w:tcPr>
          <w:p>
            <w:pPr>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5.47</w:t>
            </w:r>
          </w:p>
        </w:tc>
      </w:tr>
      <w:tr>
        <w:trPr>
          <w:trHeight w:val="257"/>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453"/>
        </w:trPr>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8"/>
                <w:szCs w:val="18"/>
                <w:b w:val="1"/>
                <w:bCs w:val="1"/>
                <w:color w:val="auto"/>
              </w:rPr>
              <w:t>High</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Low</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57"/>
        </w:trPr>
        <w:tc>
          <w:tcPr>
            <w:tcW w:w="3840" w:type="dxa"/>
            <w:vAlign w:val="bottom"/>
          </w:tcPr>
          <w:p>
            <w:pPr>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r>
      <w:tr>
        <w:trPr>
          <w:trHeight w:val="257"/>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57"/>
        </w:trPr>
        <w:tc>
          <w:tcPr>
            <w:tcW w:w="3840" w:type="dxa"/>
            <w:vAlign w:val="bottom"/>
          </w:tcPr>
          <w:p>
            <w:pPr>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57"/>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28, 2019, there were approximately 167 holders of record of our common stock, and the closing sales price of our common stock as reported on the NASDAQ Capital Market was $7.63.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under all of our existing compensation plans as of December 31, 2018.</w:t>
      </w:r>
    </w:p>
    <w:p>
      <w:pPr>
        <w:sectPr>
          <w:pgSz w:w="11900" w:h="16838" w:orient="portrait"/>
          <w:cols w:equalWidth="0" w:num="1">
            <w:col w:w="11420"/>
          </w:cols>
          <w:pgMar w:left="240" w:top="661" w:right="239" w:bottom="1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Equity compensation plans approved by security holders 2017 Equity Incentive Plan</w:t>
      </w:r>
    </w:p>
    <w:p>
      <w:pPr>
        <w:spacing w:after="0" w:line="184"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Equity compensation plans not approved by security holders: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Number of securities to be</w:t>
            </w:r>
          </w:p>
        </w:tc>
        <w:tc>
          <w:tcPr>
            <w:tcW w:w="2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Weighted-average exercise</w:t>
            </w:r>
          </w:p>
        </w:tc>
        <w:tc>
          <w:tcPr>
            <w:tcW w:w="2160" w:type="dxa"/>
            <w:vAlign w:val="bottom"/>
          </w:tcPr>
          <w:p>
            <w:pPr>
              <w:spacing w:after="0"/>
              <w:rPr>
                <w:sz w:val="18"/>
                <w:szCs w:val="18"/>
                <w:color w:val="auto"/>
              </w:rPr>
            </w:pPr>
          </w:p>
        </w:tc>
      </w:tr>
      <w:tr>
        <w:trPr>
          <w:trHeight w:val="216"/>
        </w:trPr>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 upon exercise of</w:t>
            </w:r>
          </w:p>
        </w:tc>
        <w:tc>
          <w:tcPr>
            <w:tcW w:w="16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price of outstanding</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60" w:type="dxa"/>
            <w:vAlign w:val="bottom"/>
          </w:tcPr>
          <w:p>
            <w:pPr>
              <w:spacing w:after="0"/>
              <w:rPr>
                <w:sz w:val="18"/>
                <w:szCs w:val="18"/>
                <w:color w:val="auto"/>
              </w:rPr>
            </w:pPr>
          </w:p>
        </w:tc>
        <w:tc>
          <w:tcPr>
            <w:tcW w:w="2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options, warrants and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41"/>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rights</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648"/>
        </w:trPr>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257,920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16.43</w:t>
            </w:r>
          </w:p>
        </w:tc>
        <w:tc>
          <w:tcPr>
            <w:tcW w:w="2160" w:type="dxa"/>
            <w:vAlign w:val="bottom"/>
          </w:tcPr>
          <w:p>
            <w:pPr>
              <w:jc w:val="right"/>
              <w:spacing w:after="0"/>
              <w:rPr>
                <w:sz w:val="20"/>
                <w:szCs w:val="20"/>
                <w:color w:val="auto"/>
              </w:rPr>
            </w:pPr>
            <w:r>
              <w:rPr>
                <w:rFonts w:ascii="Arial" w:cs="Arial" w:eastAsia="Arial" w:hAnsi="Arial"/>
                <w:sz w:val="18"/>
                <w:szCs w:val="18"/>
                <w:color w:val="auto"/>
              </w:rPr>
              <w:t>225,409</w:t>
            </w:r>
          </w:p>
        </w:tc>
      </w:tr>
      <w:tr>
        <w:trPr>
          <w:trHeight w:val="850"/>
        </w:trPr>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62,542</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77,846</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225,409</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-1303020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-882650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-471170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280"/>
            <w:col w:w="7060"/>
          </w:cols>
          <w:pgMar w:left="240" w:top="661" w:right="239" w:bottom="1140" w:gutter="0" w:footer="0" w:header="0"/>
          <w:type w:val="continuous"/>
        </w:sectPr>
      </w:pPr>
    </w:p>
    <w:p>
      <w:pPr>
        <w:spacing w:after="0" w:line="42" w:lineRule="exact"/>
        <w:rPr>
          <w:sz w:val="20"/>
          <w:szCs w:val="20"/>
          <w:color w:val="auto"/>
        </w:rPr>
      </w:pPr>
    </w:p>
    <w:p>
      <w:pPr>
        <w:jc w:val="both"/>
        <w:ind w:left="34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jc w:val="both"/>
        <w:ind w:left="34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403,592 of Microbot Israel’s ordinary shares. As of the effective time of the Merger, such options were retroactively adjusted to reflect the Merger and now represent the right to purchase shares of our common stock.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1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30 issued/allowed patents and 21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 Microbot is no longer pursuing the development of the TipCAT as a colonoscopy tool but is currently exploring the use of the TipCAT for minimally invasive endovascular neurosurgical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professional fees for accounting, auditing, consulting and legal services, and allocated overhead expenses.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expects that its general and administrative expenses may increase in the future as it expands its operating activities, maintains and expands its patent portfolio and incurs additional costs associated with the Merger, the preparation of becoming a public company and maintaining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key components of Microbot’s results of operations for the years ended December 31, 2018 and 2017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Increase/(Decrease)</w:t>
            </w: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$2,515,000 for the year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$1,100,000 for the same period in 2017. The increase in research and development expenses of approximately $1,415,000 in 2018 was primarily due to an increase in payroll, stock-based compensation, professional services and patents expenses. Microbot expects its research and development expenses to increase over time as Microbot advances its development programs and begins pre-clinical and clinical trials for the SCS.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$4,729,000 for the year ended December 31, 2018,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approximately $4,167,000 for the same period in 2017. The substantial increase in general and administrative expenses of approximately $562,000 in 2018 was primarily due to share-based compensation of $907,000, offset by lower public relations and other professional service fees. Microbot believes its general and administrative expenses may increase over time as it advances its programs, increases its headcount and operating activities and incurs expenses associated with being a public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income was approximately $4,000 for the year ended December 31, 2018, compared to expenses of approximately $2,322,000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2017. The net decrease in financial expenses was primarily due to revaluation and extinguishment of the convertible note and change in fair value of derivative warrant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Microbot has incurred losses since inception and negative cash flows from operating activities for the years ended December 31, 2018 and 2017. As of December 31, 2018, Microbot had a net working capital of approximately $1,071,000,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December 31, 2018, Microbot has raised gross cash proceeds of approximately $18,000,000, and incurred a total cumulative loss of approximately $27,864,000.</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 million. The closing of the offering took place on January 15, 2019. The pre-funded warrants were exercised in full in January 2019.</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 million. The closing of the offering took place on January 17, 2019.</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gross proceeds to the Company were approximately $2.47 million. The closing of the offering took place on January 25, 2019.</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Microbot was awarded an additional non-dilutive grant of up to 2,610,000 Israeli New Shekels (approximately $735,000) from the Israel Innovation Authority. The grant provides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believes that its net cash will be sufficient to fund its operations for at least 12 months and fund operations necessary to continue development activities of the SCS and TipCAT.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20" w:type="dxa"/>
            <w:vAlign w:val="bottom"/>
            <w:gridSpan w:val="5"/>
          </w:tcPr>
          <w:p>
            <w:pPr>
              <w:spacing w:after="0"/>
              <w:rPr>
                <w:sz w:val="20"/>
                <w:szCs w:val="20"/>
                <w:color w:val="auto"/>
              </w:rPr>
            </w:pPr>
            <w:r>
              <w:rPr>
                <w:rFonts w:ascii="Arial" w:cs="Arial" w:eastAsia="Arial" w:hAnsi="Arial"/>
                <w:sz w:val="18"/>
                <w:szCs w:val="18"/>
                <w:color w:val="auto"/>
                <w:w w:val="95"/>
              </w:rPr>
              <w:t>The following table provides a summary of the net cash flow activity for each of the periods set forth below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Years ended December 31,</w:t>
            </w:r>
          </w:p>
        </w:tc>
      </w:tr>
      <w:tr>
        <w:trPr>
          <w:trHeight w:val="237"/>
        </w:trPr>
        <w:tc>
          <w:tcPr>
            <w:tcW w:w="580" w:type="dxa"/>
            <w:vAlign w:val="bottom"/>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50"/>
        </w:trPr>
        <w:tc>
          <w:tcPr>
            <w:tcW w:w="580" w:type="dxa"/>
            <w:vAlign w:val="bottom"/>
          </w:tcPr>
          <w:p>
            <w:pPr>
              <w:spacing w:after="0"/>
              <w:rPr>
                <w:sz w:val="21"/>
                <w:szCs w:val="21"/>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3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100" w:type="dxa"/>
            <w:vAlign w:val="bottom"/>
            <w:shd w:val="clear" w:color="auto" w:fill="CCEEFF"/>
          </w:tcPr>
          <w:p>
            <w:pPr>
              <w:spacing w:after="0"/>
              <w:rPr>
                <w:sz w:val="21"/>
                <w:szCs w:val="21"/>
                <w:color w:val="auto"/>
              </w:rPr>
            </w:pPr>
          </w:p>
        </w:tc>
      </w:tr>
      <w:tr>
        <w:trPr>
          <w:trHeight w:val="217"/>
        </w:trPr>
        <w:tc>
          <w:tcPr>
            <w:tcW w:w="580" w:type="dxa"/>
            <w:vAlign w:val="bottom"/>
          </w:tcPr>
          <w:p>
            <w:pPr>
              <w:spacing w:after="0"/>
              <w:rPr>
                <w:sz w:val="18"/>
                <w:szCs w:val="18"/>
                <w:color w:val="auto"/>
              </w:rPr>
            </w:pPr>
          </w:p>
        </w:tc>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280" w:type="dxa"/>
            <w:vAlign w:val="bottom"/>
            <w:tcBorders>
              <w:top w:val="single" w:sz="8" w:color="CCEEFF"/>
            </w:tcBorders>
          </w:tcPr>
          <w:p>
            <w:pPr>
              <w:jc w:val="right"/>
              <w:ind w:right="20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100" w:type="dxa"/>
            <w:vAlign w:val="bottom"/>
            <w:tcBorders>
              <w:top w:val="single" w:sz="8" w:color="CCEEFF"/>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used in operating activities for the year ended December 31, 2018 was approximately $4,916,000, calculated by adjusting net loss from operations by approximately $2,376,000 to eliminate non-cash and expense items not involving cash flows such as depreciation and accumulated interest on convertible loans, as well as other changes in current assets and liabilities resulting in non-cash adjustments in the income statement. Cash used in operating activities for the year ended December 31, 2017 was approximately $4,856,000, similarly adjusted by approximately $2,733,000. Net cash used by investing activities of approximately $223,000 for the year ended December 31, 2018 consisted of leasehold improvement moving to new offices in Israel compared to approximately $58,000 in the year ended December 31, 2017. Net cash used by financing activities of approximately $412,000 for the year ended December 31, 2018 consisted of deferred expenses relating to issuance of common stock compared to approximately $13,019,000 in the year ended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December 31, 2018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supplementary data required by this item are included in this Annual Report on Form 10-K immediately following Part IV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2018. Based on that review and evaluation, the Chief Executive Officer and Chief Financial Officer, along with the management of the Company, have determined that as of December 31, 2018,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Management’s Annual Report on Internal Control Over Financial Reporting.</w:t>
      </w:r>
      <w:r>
        <w:rPr>
          <w:rFonts w:ascii="Arial" w:cs="Arial" w:eastAsia="Arial" w:hAnsi="Arial"/>
          <w:sz w:val="16"/>
          <w:szCs w:val="16"/>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2018, and have concluded that, as of December 31, 2018, our internal control over financial reporting was effective.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six directors serving on our Board of Directors (our “Board”). The Board currently consists of Harel Gadot, Yoav Waizer, Yoseph Bornstein, Scott Burell, Martin Madden and Prattipati Laxminarain.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Messrs. Gadot, Waizer and Madden are Class I directors whose terms expire at the Company’s 2019 annual meeting of stockholders. Mr. Burell is a Class II director whose term expires at the Company’s 2020 annual meeting of stockholders. Messrs. Bornstein and Laxminarain are Class III directors whose terms expire at the Company’s 2021 annual meeting of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names, ages and positions of the individuals who serve as executive officers and directors of the Company, as of March 28,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Yoav Waizer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Yoseph Bornstein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Scott Burell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Martin Madden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rPr>
              <w:t>Prattipati Laxminarain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661" w:right="2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 Israel</w:t>
      </w:r>
      <w:r>
        <w:rPr>
          <w:rFonts w:ascii="Arial" w:cs="Arial" w:eastAsia="Arial" w:hAnsi="Arial"/>
          <w:sz w:val="17"/>
          <w:szCs w:val="17"/>
          <w:i w:val="1"/>
          <w:iCs w:val="1"/>
          <w:color w:val="auto"/>
        </w:rPr>
        <w:t xml:space="preserve"> </w:t>
      </w:r>
      <w:r>
        <w:rPr>
          <w:rFonts w:ascii="Arial" w:cs="Arial" w:eastAsia="Arial" w:hAnsi="Arial"/>
          <w:sz w:val="17"/>
          <w:szCs w:val="17"/>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provides CFO services on a part-time basis to a number of venture capital funds and companies; including to Israeli Technology Investments (ITI) Fund, Next Gear Venture Partners L.P. and to Medica Venture Partners. Mr. Waizer served as CFO &amp; COO at Cedar Fund, a venture capital fund focuses on investing in Israel-related high-tech companies and prior to that Mr. Waizer was the CFO of Star Ventures Israel, the Israeli fund of Star Ventures, a $1 billion venture capital fund investing in all stages of development within the Telecom, Enterprise S/W, Wireless and Life Sciences sectors. Mr. Waizer is currently a director of Yeda Research &amp; Development Co. Ltd., the technology transfer arm of the Weizmann Institute of Science, and XACT Robotics Ltd., a private Israeli company developing novel platform robotic technology for use in minimally invasive procedures. Mr. Waizer was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August 2007.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Scott R. Burell</w:t>
      </w:r>
      <w:r>
        <w:rPr>
          <w:rFonts w:ascii="Arial" w:cs="Arial" w:eastAsia="Arial" w:hAnsi="Arial"/>
          <w:sz w:val="16"/>
          <w:szCs w:val="16"/>
          <w:color w:val="auto"/>
        </w:rPr>
        <w:t>, became a director of the Company following the Merger. Since August 1, 2018, Mr. Burell has been the Chief Financial Officer of AIVITA</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Inc., a private biopharmaceutical company. From November 2006 until its sale to Invitae Corp.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 Board member of Collplant Holdings, Ltd. (Nasdaq: CLGN), an Israeli -based publicly traded biotechnology company focused on regenerative medicine. Mr. Burell is also a Board member of Mer Telemanagement Solutions Ltd. (Nasdaq: MTSL), an Israeli-based publicly traded telecommunications services company.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are the name, age and other information for our named executive officers, as of March 28, 2019. All company officers have been appointed to serve until their successors are elected and qualified or until their earlier resignation or removal. Information regarding Mr. Gadot is set forth above under “– Board of Directors.”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David Ben Naim</w:t>
      </w:r>
      <w:r>
        <w:rPr>
          <w:rFonts w:ascii="Arial" w:cs="Arial" w:eastAsia="Arial" w:hAnsi="Arial"/>
          <w:sz w:val="17"/>
          <w:szCs w:val="17"/>
          <w:color w:val="auto"/>
        </w:rPr>
        <w:t>, became the Company’s part-time Chief Financial Officer following the consummation of the Merger. Mr. Ben Naim is the general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and Todos Medical Ltd. (OTC:TOMDF), an Israeli cancer in-vitro-diagnostic company engaging in the development of a series of blood tests for the early detection of a variety of cancers.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composed of Messrs. Waizer, Madden and Bornstein. Each of the members of the Compensation Committee is independent.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acts pursuant to a written charter which is available through our website at www.microbotmedical.com.</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securityholders may recommend nominees to the Board, since the Company last provided the disclosure in this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2018, all Section 16(a) filing requirements applicable to our officers, directors and greater than 10% beneficial owners have been met, with the exception of Mr. Ben Naim who failed to timely file a 4 report showing 1 transaction.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Incentive Plan</w:t>
            </w: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All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Compensation</w:t>
            </w: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Compensation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80" w:type="dxa"/>
            <w:vAlign w:val="bottom"/>
          </w:tcPr>
          <w:p>
            <w:pPr>
              <w:ind w:left="280"/>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 xml:space="preserve">Salary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20" w:type="dxa"/>
            <w:vAlign w:val="bottom"/>
          </w:tcPr>
          <w:p>
            <w:pPr>
              <w:spacing w:after="0"/>
              <w:rPr>
                <w:sz w:val="20"/>
                <w:szCs w:val="20"/>
                <w:color w:val="auto"/>
              </w:rPr>
            </w:pPr>
          </w:p>
        </w:tc>
        <w:tc>
          <w:tcPr>
            <w:tcW w:w="12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55,000(2)</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275,000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Hezi Himelfarb(7)</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280,067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12,931(4)</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13,000(5)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Chief Operating Officer &amp;</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General Manager</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228,653(6)</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40,625</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92,205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2018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70,026</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66,000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69"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remaining portion of Mr. Gadot’s 2017 bonus, which was paid in 2018. Mr. Gadot’s bonus for the 2018 fiscal year was paid in 2019.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remaining portion of Mr. Himelfarb’s 2017 bonus, which was paid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Compensation includes Mr. Himelfarb’s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and from his position as General Manager of Microbot Medical Ltd., a wholly-owned subsidiary of the Company. Notwithstanding the foregoing, Mr. Himelfarb has remained to assist with the transition of his duties.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3"/>
                <w:szCs w:val="13"/>
                <w:b w:val="1"/>
                <w:bCs w:val="1"/>
                <w:color w:val="auto"/>
              </w:rPr>
              <w:t>Option Awards</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Equity Incentive</w:t>
            </w:r>
          </w:p>
        </w:tc>
        <w:tc>
          <w:tcPr>
            <w:tcW w:w="1260" w:type="dxa"/>
            <w:vAlign w:val="bottom"/>
          </w:tcPr>
          <w:p>
            <w:pPr>
              <w:jc w:val="center"/>
              <w:ind w:left="57"/>
              <w:spacing w:after="0" w:line="117" w:lineRule="exact"/>
              <w:rPr>
                <w:sz w:val="20"/>
                <w:szCs w:val="20"/>
                <w:color w:val="auto"/>
              </w:rPr>
            </w:pPr>
            <w:r>
              <w:rPr>
                <w:rFonts w:ascii="Arial" w:cs="Arial" w:eastAsia="Arial" w:hAnsi="Arial"/>
                <w:sz w:val="13"/>
                <w:szCs w:val="13"/>
                <w:b w:val="1"/>
                <w:bCs w:val="1"/>
                <w:color w:val="auto"/>
                <w:w w:val="90"/>
              </w:rPr>
              <w:t>Equity Incentive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12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Plan Awards:</w:t>
            </w:r>
          </w:p>
        </w:tc>
        <w:tc>
          <w:tcPr>
            <w:tcW w:w="13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Market value</w:t>
            </w:r>
          </w:p>
        </w:tc>
        <w:tc>
          <w:tcPr>
            <w:tcW w:w="16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3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Market or 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Shares or</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of Shares of</w:t>
            </w:r>
          </w:p>
        </w:tc>
        <w:tc>
          <w:tcPr>
            <w:tcW w:w="16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13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Value of 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Option</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16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Units or Other</w:t>
            </w:r>
          </w:p>
        </w:tc>
        <w:tc>
          <w:tcPr>
            <w:tcW w:w="13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Shares, 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Options</w:t>
            </w:r>
          </w:p>
        </w:tc>
        <w:tc>
          <w:tcPr>
            <w:tcW w:w="12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Option</w:t>
            </w:r>
          </w:p>
        </w:tc>
        <w:tc>
          <w:tcPr>
            <w:tcW w:w="1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That Have</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16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Rights That Have</w:t>
            </w:r>
          </w:p>
        </w:tc>
        <w:tc>
          <w:tcPr>
            <w:tcW w:w="13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Other Rights That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gridSpan w:val="2"/>
          </w:tcPr>
          <w:p>
            <w:pPr>
              <w:ind w:left="520"/>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Exercisable</w:t>
            </w: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Unexercisable</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Exercise Price</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Not Vested</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Not Vested</w:t>
            </w:r>
          </w:p>
        </w:tc>
        <w:tc>
          <w:tcPr>
            <w:tcW w:w="16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Not Vested</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Have Not Vested</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Harel Gadot</w:t>
            </w:r>
          </w:p>
        </w:tc>
        <w:tc>
          <w:tcPr>
            <w:tcW w:w="13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77,846</w:t>
            </w:r>
          </w:p>
        </w:tc>
        <w:tc>
          <w:tcPr>
            <w:tcW w:w="12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4.20</w:t>
            </w:r>
          </w:p>
        </w:tc>
        <w:tc>
          <w:tcPr>
            <w:tcW w:w="11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6"/>
              </w:rPr>
              <w:t>9/01/2024</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118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ind w:left="1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48,672</w:t>
            </w: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72,175</w:t>
            </w: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15.75</w:t>
            </w:r>
          </w:p>
        </w:tc>
        <w:tc>
          <w:tcPr>
            <w:tcW w:w="11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6"/>
              </w:rPr>
              <w:t>9/14/2027</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Hezi Himelfarb</w:t>
            </w:r>
          </w:p>
        </w:tc>
        <w:tc>
          <w:tcPr>
            <w:tcW w:w="13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29,003</w:t>
            </w:r>
          </w:p>
        </w:tc>
        <w:tc>
          <w:tcPr>
            <w:tcW w:w="12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43,505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19.35</w:t>
            </w:r>
          </w:p>
        </w:tc>
        <w:tc>
          <w:tcPr>
            <w:tcW w:w="11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10/15/2027</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118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ind w:left="1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gridSpan w:val="2"/>
          </w:tcPr>
          <w:p>
            <w:pPr>
              <w:spacing w:after="0" w:line="135" w:lineRule="exact"/>
              <w:rPr>
                <w:sz w:val="20"/>
                <w:szCs w:val="20"/>
                <w:color w:val="auto"/>
              </w:rPr>
            </w:pPr>
            <w:r>
              <w:rPr>
                <w:rFonts w:ascii="Arial" w:cs="Arial" w:eastAsia="Arial" w:hAnsi="Arial"/>
                <w:sz w:val="13"/>
                <w:szCs w:val="13"/>
                <w:color w:val="auto"/>
              </w:rPr>
              <w:t>David Ben Naim</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2,000</w:t>
            </w:r>
          </w:p>
        </w:tc>
        <w:tc>
          <w:tcPr>
            <w:tcW w:w="26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15.30</w:t>
            </w:r>
          </w:p>
        </w:tc>
        <w:tc>
          <w:tcPr>
            <w:tcW w:w="11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12/28/2027</w:t>
            </w:r>
          </w:p>
        </w:tc>
        <w:tc>
          <w:tcPr>
            <w:tcW w:w="100" w:type="dxa"/>
            <w:vAlign w:val="bottom"/>
          </w:tcPr>
          <w:p>
            <w:pPr>
              <w:spacing w:after="0"/>
              <w:rPr>
                <w:sz w:val="11"/>
                <w:szCs w:val="11"/>
                <w:color w:val="auto"/>
              </w:rPr>
            </w:pPr>
          </w:p>
        </w:tc>
        <w:tc>
          <w:tcPr>
            <w:tcW w:w="112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440" w:type="dxa"/>
            <w:vAlign w:val="bottom"/>
            <w:gridSpan w:val="2"/>
          </w:tcPr>
          <w:p>
            <w:pPr>
              <w:ind w:left="118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ind w:left="1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Simon Sharon</w:t>
            </w:r>
          </w:p>
        </w:tc>
        <w:tc>
          <w:tcPr>
            <w:tcW w:w="13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08/13/2028</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118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ind w:left="1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which maximum amount was paid for the 2018 fiscal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$203,714 per annum based on an exchange rate of $.265 for NIS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Himelfarb Agreement, Mr. Himelfarb was entitled to participate in the Company’s motor vehicle program and receive a motor vehicle from the Company’s vehicle pool.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Notwithstanding the foregoing, Mr. Himelfarb has remained to assist with the transition of his duties. As a result of certain termination provisions of the Himelfarb Agreement, Mr. Himelfarb is entitled to six months of compensation as a result of such resignation.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$5,835 per month based on an exchange rate of $.265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eliminates the personal liability of our directors to the fullest extent permitted by law. The certificate of incorporation further provides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Fees earned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or paid in</w:t>
            </w:r>
          </w:p>
        </w:tc>
        <w:tc>
          <w:tcPr>
            <w:tcW w:w="120" w:type="dxa"/>
            <w:vAlign w:val="bottom"/>
          </w:tcPr>
          <w:p>
            <w:pPr>
              <w:spacing w:after="0"/>
              <w:rPr>
                <w:sz w:val="18"/>
                <w:szCs w:val="18"/>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b w:val="1"/>
                <w:bCs w:val="1"/>
                <w:color w:val="auto"/>
              </w:rPr>
              <w:t>Stock</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80" w:type="dxa"/>
            <w:vAlign w:val="bottom"/>
            <w:gridSpan w:val="2"/>
          </w:tcPr>
          <w:p>
            <w:pPr>
              <w:ind w:left="110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cash</w:t>
            </w:r>
          </w:p>
        </w:tc>
        <w:tc>
          <w:tcPr>
            <w:tcW w:w="1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Awards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Awards (1)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Compensation</w:t>
            </w: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79"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March 28, 2019,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28, 2019. We calculated percentage ownership in accordance with the rules of the SEC. The percentage of common stock beneficially owned is based on 4,307,580 shares outstanding as of March 28, 2019. In addition, shares issuable pursuant to options or other convertible securities that may be acquired within 60 days of March 28, 2019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 of Shares</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7080" w:type="dxa"/>
            <w:vAlign w:val="bottom"/>
            <w:gridSpan w:val="2"/>
          </w:tcPr>
          <w:p>
            <w:pPr>
              <w:ind w:left="2760"/>
              <w:spacing w:after="0"/>
              <w:rPr>
                <w:sz w:val="20"/>
                <w:szCs w:val="20"/>
                <w:color w:val="auto"/>
              </w:rPr>
            </w:pPr>
            <w:r>
              <w:rPr>
                <w:rFonts w:ascii="Arial" w:cs="Arial" w:eastAsia="Arial" w:hAnsi="Arial"/>
                <w:sz w:val="18"/>
                <w:szCs w:val="18"/>
                <w:b w:val="1"/>
                <w:bCs w:val="1"/>
                <w:color w:val="auto"/>
              </w:rPr>
              <w:t>Beneficial Owner</w:t>
            </w:r>
          </w:p>
        </w:tc>
        <w:tc>
          <w:tcPr>
            <w:tcW w:w="2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Beneficially Owned</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310,066</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303,816</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1,788</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2,375</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1,788</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Yehezkel (Hezi) Himelfarb </w:t>
            </w:r>
            <w:r>
              <w:rPr>
                <w:rFonts w:ascii="Arial" w:cs="Arial" w:eastAsia="Arial" w:hAnsi="Arial"/>
                <w:sz w:val="29"/>
                <w:szCs w:val="29"/>
                <w:color w:val="auto"/>
                <w:vertAlign w:val="superscript"/>
              </w:rPr>
              <w:t>(2)(7)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34,442</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All current directors and executive officers as a group (7 persons)</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623,409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Shareholders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303,816</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254,711</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r>
      <w:tr>
        <w:trPr>
          <w:trHeight w:val="390"/>
        </w:trPr>
        <w:tc>
          <w:tcPr>
            <w:tcW w:w="7080" w:type="dxa"/>
            <w:vAlign w:val="bottom"/>
            <w:gridSpan w:val="2"/>
          </w:tcPr>
          <w:p>
            <w:pPr>
              <w:spacing w:after="0"/>
              <w:rPr>
                <w:sz w:val="20"/>
                <w:szCs w:val="20"/>
                <w:color w:val="auto"/>
              </w:rPr>
            </w:pPr>
            <w:r>
              <w:rPr>
                <w:rFonts w:ascii="Arial" w:cs="Arial" w:eastAsia="Arial" w:hAnsi="Arial"/>
                <w:sz w:val="18"/>
                <w:szCs w:val="18"/>
                <w:color w:val="auto"/>
              </w:rPr>
              <w:t>Saber Holding GmbH</w:t>
            </w:r>
            <w:r>
              <w:rPr>
                <w:rFonts w:ascii="Arial" w:cs="Arial" w:eastAsia="Arial" w:hAnsi="Arial"/>
                <w:sz w:val="30"/>
                <w:szCs w:val="30"/>
                <w:color w:val="auto"/>
                <w:vertAlign w:val="superscript"/>
              </w:rPr>
              <w:t>(6)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287,134</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89" w:lineRule="exact"/>
        <w:rPr>
          <w:sz w:val="20"/>
          <w:szCs w:val="20"/>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55,355 shares of our common stock issuable upon the exercise of options granted to Mr. Gadot. All of such shares and 77,864 options are held by MEDX Ventures Group LLC, which is beneficially owned by Mr. Gadot. See Note 6 below.</w:t>
      </w: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1,788 shares of our common stock issuable to Mr. Bornstein upon exercise of options.</w:t>
      </w: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 Does not include Mr. Himelfarb, who resigned effective February 1, 2019. See Note (7) below).</w:t>
      </w: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77,864 shares of our common stock issuable upon the exercise of options granted to MEDX Ventures Group. Mr. Gadot is the Chief Executive</w:t>
      </w:r>
    </w:p>
    <w:p>
      <w:pPr>
        <w:sectPr>
          <w:pgSz w:w="11900" w:h="16838" w:orient="portrait"/>
          <w:cols w:equalWidth="0" w:num="1">
            <w:col w:w="11420"/>
          </w:cols>
          <w:pgMar w:left="240" w:top="665" w:right="239" w:bottom="0" w:gutter="0" w:footer="0" w:header="0"/>
        </w:sectPr>
      </w:pPr>
    </w:p>
    <w:bookmarkStart w:id="48" w:name="page49"/>
    <w:bookmarkEnd w:id="48"/>
    <w:p>
      <w:pPr>
        <w:jc w:val="both"/>
        <w:ind w:left="332"/>
        <w:spacing w:after="0" w:line="256" w:lineRule="auto"/>
        <w:rPr>
          <w:sz w:val="20"/>
          <w:szCs w:val="20"/>
          <w:color w:val="auto"/>
        </w:rPr>
      </w:pPr>
      <w:r>
        <w:rPr>
          <w:rFonts w:ascii="Arial" w:cs="Arial" w:eastAsia="Arial" w:hAnsi="Arial"/>
          <w:sz w:val="18"/>
          <w:szCs w:val="18"/>
          <w:color w:val="auto"/>
        </w:rPr>
        <w:t>Officer, Company Group Chairman and majority equity owner of MEDX Venture Group and thus may be deemed to share voting and investment power over the shares beneficially owned by this entity. Does not include 55,355 shares of our common stock issuable upon the exercise of options granted to Mr. Gadot directly. See Note 1 above.</w:t>
      </w:r>
    </w:p>
    <w:p>
      <w:pPr>
        <w:jc w:val="both"/>
        <w:ind w:left="332" w:hanging="332"/>
        <w:spacing w:after="0" w:line="250" w:lineRule="auto"/>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and from his position as General Manager of Microbot Medical Ltd., a wholly-owned subsidiary of the Company. Notwithstanding the foregoing, Mr. Himelfarb has remained to assist with the transition of his duties.</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t>
      </w:r>
      <w:r>
        <w:rPr>
          <w:rFonts w:ascii="Arial" w:cs="Arial" w:eastAsia="Arial" w:hAnsi="Arial"/>
          <w:sz w:val="17"/>
          <w:szCs w:val="17"/>
          <w:u w:val="single" w:color="auto"/>
          <w:color w:val="auto"/>
        </w:rPr>
        <w:t>www.microbotmedical.com</w:t>
      </w:r>
      <w:r>
        <w:rPr>
          <w:rFonts w:ascii="Arial" w:cs="Arial" w:eastAsia="Arial" w:hAnsi="Arial"/>
          <w:sz w:val="17"/>
          <w:szCs w:val="17"/>
          <w:color w:val="auto"/>
        </w:rPr>
        <w:t>.</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wholly-owned subsidiary, Microbot Medical Ltd., entered into a license agreement with Technion Research and Development Foundation Ltd., or TRDF, in 2012 pursuant to which it obtained an exclusive, worldwide, royalty-bearing, sub-licensable license to certain patents and inventions relating to the SCS and TipCAT technology platforms. TRDF is a founder of Microbot. See “Description of Business – Intellectual Property” for a description of this agreement.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above transaction, there have been no related party transactions or any other transactions o relationships required to be disclosed pursuant to Item 404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our Board are Messrs. Waizer, Bornstein, Burell, Madden and Laxminarain.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2018.</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concluded that provision of such services is compatible with maintaining the independence of the independent accountants, and approved the provision by Brightman Almagor Zohar &amp; Co. of tax compliance services with respect to the year ending December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2018 and 2017,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12/31/18</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12/31/17</w:t>
            </w:r>
          </w:p>
        </w:tc>
        <w:tc>
          <w:tcPr>
            <w:tcW w:w="80" w:type="dxa"/>
            <w:vAlign w:val="bottom"/>
            <w:tcBorders>
              <w:bottom w:val="single" w:sz="8" w:color="CCEEFF"/>
            </w:tcBorders>
          </w:tcPr>
          <w:p>
            <w:pPr>
              <w:spacing w:after="0"/>
              <w:rPr>
                <w:sz w:val="20"/>
                <w:szCs w:val="20"/>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Audit-Related Fees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All Other Fees (2)</w:t>
            </w:r>
          </w:p>
        </w:tc>
        <w:tc>
          <w:tcPr>
            <w:tcW w:w="2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17,000</w:t>
            </w:r>
          </w:p>
        </w:tc>
        <w:tc>
          <w:tcPr>
            <w:tcW w:w="4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fees related to issuing comfort letter and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4"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financial statements are filed as part of this Annual Report on Form 10-K commencing on page F-1 and are hereby incorporated by reference</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240" w:type="dxa"/>
            <w:vAlign w:val="bottom"/>
            <w:tcBorders>
              <w:bottom w:val="single" w:sz="8" w:color="0000EE"/>
            </w:tcBorders>
            <w:gridSpan w:val="9"/>
          </w:tcPr>
          <w:p>
            <w:pPr>
              <w:spacing w:after="0" w:line="176"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7"/>
                <w:szCs w:val="17"/>
                <w:color w:val="auto"/>
              </w:rPr>
            </w:pPr>
          </w:p>
        </w:tc>
        <w:tc>
          <w:tcPr>
            <w:tcW w:w="102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67">
              <w:r>
                <w:rPr>
                  <w:rFonts w:ascii="Arial" w:cs="Arial" w:eastAsia="Arial" w:hAnsi="Arial"/>
                  <w:sz w:val="18"/>
                  <w:szCs w:val="18"/>
                  <w:color w:val="0000EE"/>
                  <w:w w:val="95"/>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fiscal 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17"/>
                <w:szCs w:val="17"/>
                <w:color w:val="auto"/>
              </w:rPr>
            </w:pPr>
          </w:p>
        </w:tc>
        <w:tc>
          <w:tcPr>
            <w:tcW w:w="102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Report on Form 8-K filed on November 29, 2016).</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80" w:type="dxa"/>
            <w:vAlign w:val="bottom"/>
          </w:tcPr>
          <w:p>
            <w:pPr>
              <w:spacing w:after="0"/>
              <w:rPr>
                <w:sz w:val="17"/>
                <w:szCs w:val="17"/>
                <w:color w:val="auto"/>
              </w:rPr>
            </w:pPr>
          </w:p>
        </w:tc>
        <w:tc>
          <w:tcPr>
            <w:tcW w:w="102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8-K filed on September 4, 2018).</w:t>
              </w:r>
            </w:hyperlink>
          </w:p>
        </w:tc>
        <w:tc>
          <w:tcPr>
            <w:tcW w:w="78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2016).</w:t>
              </w:r>
            </w:hyperlink>
          </w:p>
        </w:tc>
        <w:tc>
          <w:tcPr>
            <w:tcW w:w="19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18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Certificate of Elimination (incorporated by reference to the Company’s Current Report on Form 8-K filed on December 12, 2018).</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19"/>
                <w:szCs w:val="19"/>
                <w:color w:val="auto"/>
              </w:rPr>
            </w:pPr>
          </w:p>
        </w:tc>
        <w:tc>
          <w:tcPr>
            <w:tcW w:w="10260" w:type="dxa"/>
            <w:vAlign w:val="bottom"/>
            <w:gridSpan w:val="10"/>
          </w:tcPr>
          <w:p>
            <w:pPr>
              <w:spacing w:after="0"/>
              <w:rPr>
                <w:rFonts w:ascii="Arial" w:cs="Arial" w:eastAsia="Arial" w:hAnsi="Arial"/>
                <w:sz w:val="18"/>
                <w:szCs w:val="18"/>
                <w:color w:val="0000EE"/>
                <w:w w:val="98"/>
              </w:rPr>
            </w:pPr>
            <w:hyperlink r:id="rId72">
              <w:r>
                <w:rPr>
                  <w:rFonts w:ascii="Arial" w:cs="Arial" w:eastAsia="Arial" w:hAnsi="Arial"/>
                  <w:sz w:val="18"/>
                  <w:szCs w:val="18"/>
                  <w:color w:val="0000EE"/>
                  <w:w w:val="98"/>
                </w:rPr>
                <w:t>Form of Series A Warrant (incorporated by reference to the Registrant’s Current Report on Form 8-K filed on December 16, 2016).</w:t>
              </w:r>
            </w:hyperlink>
          </w:p>
        </w:tc>
      </w:tr>
      <w:tr>
        <w:trPr>
          <w:trHeight w:val="487"/>
        </w:trPr>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4860" w:type="dxa"/>
            <w:vAlign w:val="bottom"/>
            <w:tcBorders>
              <w:top w:val="single" w:sz="8" w:color="0000EE"/>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45</w:t>
            </w:r>
          </w:p>
        </w:tc>
        <w:tc>
          <w:tcPr>
            <w:tcW w:w="41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51" w:name="page52"/>
    <w:bookmarkEnd w:id="51"/>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7"/>
              </w:rPr>
              <w:t>4.2</w:t>
            </w:r>
          </w:p>
        </w:tc>
        <w:tc>
          <w:tcPr>
            <w:tcW w:w="9420" w:type="dxa"/>
            <w:vAlign w:val="bottom"/>
            <w:tcBorders>
              <w:bottom w:val="single" w:sz="8" w:color="0000EE"/>
            </w:tcBorders>
            <w:gridSpan w:val="23"/>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Form of Series B Warrant (incorporated by reference to the Company’s Current Report on Form 8-K filed on December 16, 2016).</w:t>
              </w:r>
            </w:hyperlink>
          </w:p>
        </w:tc>
        <w:tc>
          <w:tcPr>
            <w:tcW w:w="840" w:type="dxa"/>
            <w:vAlign w:val="bottom"/>
            <w:gridSpan w:val="4"/>
          </w:tcPr>
          <w:p>
            <w:pPr>
              <w:spacing w:after="0"/>
              <w:rPr>
                <w:sz w:val="17"/>
                <w:szCs w:val="17"/>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7"/>
              </w:rPr>
              <w:t>4.3</w:t>
            </w:r>
          </w:p>
        </w:tc>
        <w:tc>
          <w:tcPr>
            <w:tcW w:w="10260" w:type="dxa"/>
            <w:vAlign w:val="bottom"/>
            <w:gridSpan w:val="27"/>
          </w:tcPr>
          <w:p>
            <w:pPr>
              <w:spacing w:after="0" w:line="196" w:lineRule="exact"/>
              <w:rPr>
                <w:rFonts w:ascii="Arial" w:cs="Arial" w:eastAsia="Arial" w:hAnsi="Arial"/>
                <w:sz w:val="18"/>
                <w:szCs w:val="18"/>
                <w:color w:val="0000EE"/>
                <w:w w:val="98"/>
              </w:rPr>
            </w:pPr>
            <w:hyperlink r:id="rId74">
              <w:r>
                <w:rPr>
                  <w:rFonts w:ascii="Arial" w:cs="Arial" w:eastAsia="Arial" w:hAnsi="Arial"/>
                  <w:sz w:val="18"/>
                  <w:szCs w:val="18"/>
                  <w:color w:val="0000EE"/>
                  <w:w w:val="98"/>
                </w:rPr>
                <w:t>Form of Pre-Funded Warrant (incorporated by reference to the Registrant’s Current Report on Form 8-K filed on January 16, 2019)</w:t>
              </w:r>
            </w:hyperlink>
          </w:p>
        </w:tc>
      </w:tr>
      <w:tr>
        <w:trPr>
          <w:trHeight w:val="20"/>
        </w:trPr>
        <w:tc>
          <w:tcPr>
            <w:tcW w:w="10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7"/>
              </w:rPr>
              <w:t>4.4</w:t>
            </w:r>
          </w:p>
        </w:tc>
        <w:tc>
          <w:tcPr>
            <w:tcW w:w="10260" w:type="dxa"/>
            <w:vAlign w:val="bottom"/>
            <w:gridSpan w:val="27"/>
          </w:tcPr>
          <w:p>
            <w:pPr>
              <w:spacing w:after="0" w:line="196"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Form of Wainwright Warrant (incorporated by reference to the Registrant’s Current Report on Form 8-K filed on January 16, 2019)</w:t>
              </w:r>
            </w:hyperlink>
          </w:p>
        </w:tc>
      </w:tr>
      <w:tr>
        <w:trPr>
          <w:trHeight w:val="20"/>
        </w:trPr>
        <w:tc>
          <w:tcPr>
            <w:tcW w:w="10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7"/>
              </w:rPr>
              <w:t>4.5</w:t>
            </w:r>
          </w:p>
        </w:tc>
        <w:tc>
          <w:tcPr>
            <w:tcW w:w="95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Form of Wainwright Warrant (incorporated by reference to the Registrant’s Current Report on Form 8-K filed on January 17, 2019).</w:t>
              </w:r>
            </w:hyperlink>
          </w:p>
        </w:tc>
        <w:tc>
          <w:tcPr>
            <w:tcW w:w="740" w:type="dxa"/>
            <w:vAlign w:val="bottom"/>
            <w:gridSpan w:val="2"/>
          </w:tcPr>
          <w:p>
            <w:pPr>
              <w:spacing w:after="0"/>
              <w:rPr>
                <w:sz w:val="17"/>
                <w:szCs w:val="17"/>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7"/>
              </w:rPr>
              <w:t>4.6</w:t>
            </w:r>
          </w:p>
        </w:tc>
        <w:tc>
          <w:tcPr>
            <w:tcW w:w="10260" w:type="dxa"/>
            <w:vAlign w:val="bottom"/>
            <w:gridSpan w:val="2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Form of Warrant (incorporated by reference to the Registrant’s Current Report on Form 8-K filed on January 25, 2019).</w:t>
              </w:r>
            </w:hyperlink>
          </w:p>
        </w:tc>
      </w:tr>
      <w:tr>
        <w:trPr>
          <w:trHeight w:val="20"/>
        </w:trPr>
        <w:tc>
          <w:tcPr>
            <w:tcW w:w="10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7"/>
              </w:rPr>
              <w:t>4.7</w:t>
            </w:r>
          </w:p>
        </w:tc>
        <w:tc>
          <w:tcPr>
            <w:tcW w:w="95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Form of Wainwright Warrant (incorporated by reference to the Registrant’s Current Report on Form 8-K filed on January 25, 2019).</w:t>
              </w:r>
            </w:hyperlink>
          </w:p>
        </w:tc>
        <w:tc>
          <w:tcPr>
            <w:tcW w:w="740" w:type="dxa"/>
            <w:vAlign w:val="bottom"/>
            <w:gridSpan w:val="2"/>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10.1</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8"/>
              </w:rPr>
            </w:pPr>
            <w:hyperlink r:id="rId79">
              <w:r>
                <w:rPr>
                  <w:rFonts w:ascii="Arial" w:cs="Arial" w:eastAsia="Arial" w:hAnsi="Arial"/>
                  <w:sz w:val="18"/>
                  <w:szCs w:val="18"/>
                  <w:color w:val="0000EE"/>
                  <w:w w:val="98"/>
                </w:rPr>
                <w:t>Form of Indemnification Agreement, between the Company and Each of its Directors and Officers (incorporated by reference to the</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Company’s Current Report on Form 8-K filed on November 29, 2016).</w:t>
              </w:r>
            </w:hyperlink>
          </w:p>
        </w:tc>
      </w:tr>
      <w:tr>
        <w:trPr>
          <w:trHeight w:val="20"/>
        </w:trPr>
        <w:tc>
          <w:tcPr>
            <w:tcW w:w="10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5"/>
              </w:rPr>
              <w:t>10.2*</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Employment Agreement with Harel Gadot (incorporated by reference to the Company’s Current Report on Form 8-K filed on November 29,</w:t>
              </w:r>
            </w:hyperlink>
          </w:p>
        </w:tc>
      </w:tr>
      <w:tr>
        <w:trPr>
          <w:trHeight w:val="196"/>
        </w:trPr>
        <w:tc>
          <w:tcPr>
            <w:tcW w:w="100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2016).</w:t>
              </w:r>
            </w:hyperlink>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5"/>
              </w:rPr>
              <w:t>10.3*</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Services Agreement with DBN Finance Services Ltd. (incorporated by reference to the Company’s Current Report on Form 8-K filed on</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November 29, 2016).</w:t>
              </w:r>
            </w:hyperlink>
          </w:p>
        </w:tc>
      </w:tr>
      <w:tr>
        <w:trPr>
          <w:trHeight w:val="20"/>
        </w:trPr>
        <w:tc>
          <w:tcPr>
            <w:tcW w:w="10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5"/>
              </w:rPr>
              <w:t>10.4*</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Employment Agreement with Yehezkel Himelfarb (incorporated by reference to the Company’s Current Report on Form 8-K filed on</w:t>
              </w:r>
            </w:hyperlink>
          </w:p>
        </w:tc>
      </w:tr>
      <w:tr>
        <w:trPr>
          <w:trHeight w:val="196"/>
        </w:trPr>
        <w:tc>
          <w:tcPr>
            <w:tcW w:w="100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December 8, 2016).</w:t>
              </w:r>
            </w:hyperlink>
          </w:p>
        </w:tc>
        <w:tc>
          <w:tcPr>
            <w:tcW w:w="8820" w:type="dxa"/>
            <w:vAlign w:val="bottom"/>
            <w:gridSpan w:val="23"/>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10.5</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Form of Securities Purchase Agreement, dated January 5, 2017 (incorporated by reference to the Company’s Current Report on Form 8-K</w:t>
              </w:r>
            </w:hyperlink>
          </w:p>
        </w:tc>
      </w:tr>
      <w:tr>
        <w:trPr>
          <w:trHeight w:val="196"/>
        </w:trPr>
        <w:tc>
          <w:tcPr>
            <w:tcW w:w="100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filed on January 5, 2017).</w:t>
              </w:r>
            </w:hyperlink>
          </w:p>
        </w:tc>
        <w:tc>
          <w:tcPr>
            <w:tcW w:w="8400" w:type="dxa"/>
            <w:vAlign w:val="bottom"/>
            <w:gridSpan w:val="19"/>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10.6</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Placement Agreement, dated January 4, 2017 (incorporated by reference to the Company’s Current Report on Form 8-K filed on January 5,</w:t>
              </w:r>
            </w:hyperlink>
          </w:p>
        </w:tc>
      </w:tr>
      <w:tr>
        <w:trPr>
          <w:trHeight w:val="196"/>
        </w:trPr>
        <w:tc>
          <w:tcPr>
            <w:tcW w:w="100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2017).</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10.7</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Asset Purchase Agreement, dated November 11, 2016, by and among StemCells, Inc., Stem Cell Sciences Holdings Limited, Stemcells</w:t>
              </w:r>
            </w:hyperlink>
          </w:p>
        </w:tc>
      </w:tr>
      <w:tr>
        <w:trPr>
          <w:trHeight w:val="196"/>
        </w:trPr>
        <w:tc>
          <w:tcPr>
            <w:tcW w:w="100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California, Inc., and Boco Silicon Valley, Inc. (incorporated by reference to the Company’s Annual Report on Form 10-K for the fiscal year</w:t>
              </w:r>
            </w:hyperlink>
          </w:p>
        </w:tc>
      </w:tr>
      <w:tr>
        <w:trPr>
          <w:trHeight w:val="196"/>
        </w:trPr>
        <w:tc>
          <w:tcPr>
            <w:tcW w:w="1000" w:type="dxa"/>
            <w:vAlign w:val="bottom"/>
          </w:tcPr>
          <w:p>
            <w:pPr>
              <w:spacing w:after="0"/>
              <w:rPr>
                <w:sz w:val="17"/>
                <w:szCs w:val="17"/>
                <w:color w:val="auto"/>
              </w:rPr>
            </w:pP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ended December 31, 2016 and filed on March 21, 2017).</w:t>
              </w:r>
            </w:hyperlink>
          </w:p>
        </w:tc>
        <w:tc>
          <w:tcPr>
            <w:tcW w:w="6160" w:type="dxa"/>
            <w:vAlign w:val="bottom"/>
            <w:gridSpan w:val="14"/>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10.8</w:t>
            </w:r>
          </w:p>
        </w:tc>
        <w:tc>
          <w:tcPr>
            <w:tcW w:w="10260" w:type="dxa"/>
            <w:vAlign w:val="bottom"/>
            <w:gridSpan w:val="27"/>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Contract Research Agreement, dated January 27, 2017, with The Washington University (incorporated by reference to the Company’s Annual</w:t>
              </w:r>
            </w:hyperlink>
          </w:p>
        </w:tc>
      </w:tr>
      <w:tr>
        <w:trPr>
          <w:trHeight w:val="196"/>
        </w:trPr>
        <w:tc>
          <w:tcPr>
            <w:tcW w:w="100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Report on Form 10-K for the fiscal year ended December 31, 2016 and filed on March 21, 2017).</w:t>
              </w:r>
            </w:hyperlink>
          </w:p>
        </w:tc>
        <w:tc>
          <w:tcPr>
            <w:tcW w:w="32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10.9</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License Agreement, dated June 20, 2012, by and between Technion Research and Development Foundation, and Microbot Medical Ltd.</w:t>
              </w:r>
            </w:hyperlink>
          </w:p>
        </w:tc>
      </w:tr>
      <w:tr>
        <w:trPr>
          <w:trHeight w:val="196"/>
        </w:trPr>
        <w:tc>
          <w:tcPr>
            <w:tcW w:w="100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(incorporated by reference to the Company’s Annual Report on Form 10-K for the fiscal year ended December 31, 2016 and filed on March</w:t>
              </w:r>
            </w:hyperlink>
          </w:p>
        </w:tc>
      </w:tr>
      <w:tr>
        <w:trPr>
          <w:trHeight w:val="196"/>
        </w:trPr>
        <w:tc>
          <w:tcPr>
            <w:tcW w:w="1000" w:type="dxa"/>
            <w:vAlign w:val="bottom"/>
          </w:tcPr>
          <w:p>
            <w:pPr>
              <w:spacing w:after="0"/>
              <w:rPr>
                <w:sz w:val="17"/>
                <w:szCs w:val="17"/>
                <w:color w:val="auto"/>
              </w:rPr>
            </w:pPr>
          </w:p>
        </w:tc>
        <w:tc>
          <w:tcPr>
            <w:tcW w:w="1440" w:type="dxa"/>
            <w:vAlign w:val="bottom"/>
            <w:gridSpan w:val="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21, 2017).</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95"/>
              </w:rPr>
              <w:t>10.10*</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Microbot Medical Inc. 2017 Equity Incentive Plan (incorporated by reference to the Company’s Quarterly Report on Form 10-Q for the</w:t>
              </w:r>
            </w:hyperlink>
          </w:p>
        </w:tc>
      </w:tr>
      <w:tr>
        <w:trPr>
          <w:trHeight w:val="196"/>
        </w:trPr>
        <w:tc>
          <w:tcPr>
            <w:tcW w:w="1000" w:type="dxa"/>
            <w:vAlign w:val="bottom"/>
          </w:tcPr>
          <w:p>
            <w:pPr>
              <w:spacing w:after="0"/>
              <w:rPr>
                <w:sz w:val="17"/>
                <w:szCs w:val="17"/>
                <w:color w:val="auto"/>
              </w:rPr>
            </w:pPr>
          </w:p>
        </w:tc>
        <w:tc>
          <w:tcPr>
            <w:tcW w:w="47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Quarter ended September 30, 2017, filed on November 14, 2017).</w:t>
              </w:r>
            </w:hyperlink>
          </w:p>
        </w:tc>
        <w:tc>
          <w:tcPr>
            <w:tcW w:w="5500" w:type="dxa"/>
            <w:vAlign w:val="bottom"/>
            <w:gridSpan w:val="13"/>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2"/>
              </w:rPr>
              <w:t>10.11*</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Cooperation and Consulting Agreement, by and between StemCells, Inc. and Ken Stratton, dated June 6, 2016 (incorporated by reference to</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the Company’s Quarterly Report on Form 10-Q for the Quarter ended June 30, 2016, filed on August 15, 2016).</w:t>
              </w:r>
            </w:hyperlink>
          </w:p>
        </w:tc>
      </w:tr>
      <w:tr>
        <w:trPr>
          <w:trHeight w:val="20"/>
        </w:trPr>
        <w:tc>
          <w:tcPr>
            <w:tcW w:w="100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95"/>
              </w:rPr>
              <w:t>10.12*</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Cooperation and Consulting Agreement, by and between StemCells, Inc. and Gregory Schiffman, dated June 6, 2016 (incorporated by</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reference to the Company’s Quarterly Report on Form 10-Q for the Quarter ended June 30, 2016, filed on August 15, 2016).</w:t>
              </w:r>
            </w:hyperlink>
          </w:p>
        </w:tc>
      </w:tr>
      <w:tr>
        <w:trPr>
          <w:trHeight w:val="20"/>
        </w:trPr>
        <w:tc>
          <w:tcPr>
            <w:tcW w:w="100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10.13</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Cooperation and Consulting Agreement, by and between StemCells, Inc. and Ian Massey, dated June 6, 2016 (incorporated by reference to the</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100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10.14</w:t>
            </w:r>
          </w:p>
        </w:tc>
        <w:tc>
          <w:tcPr>
            <w:tcW w:w="10260" w:type="dxa"/>
            <w:vAlign w:val="bottom"/>
            <w:gridSpan w:val="2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Agreement, dated January 4, 2018, by and between CardioSert Ltd. and Microbot Medical Ltd. (incorporated by reference to the Company’s</w:t>
              </w:r>
            </w:hyperlink>
          </w:p>
        </w:tc>
      </w:tr>
      <w:tr>
        <w:trPr>
          <w:trHeight w:val="196"/>
        </w:trPr>
        <w:tc>
          <w:tcPr>
            <w:tcW w:w="10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Current Report on Form 8-K filed on January 8, 2018).</w:t>
              </w:r>
            </w:hyperlink>
          </w:p>
        </w:tc>
        <w:tc>
          <w:tcPr>
            <w:tcW w:w="62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10.15</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Tolling and Standstill Agreement, dated as of April 2, 2018, by and among (a) Schulte Roth &amp; Zabel LLP, on behalf of Empery Asset Master,</w:t>
              </w:r>
            </w:hyperlink>
          </w:p>
        </w:tc>
      </w:tr>
      <w:tr>
        <w:trPr>
          <w:trHeight w:val="196"/>
        </w:trPr>
        <w:tc>
          <w:tcPr>
            <w:tcW w:w="100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Ltd., Empery Tax Efficient LP, Empery Tax Efficient II LP, and Hudson Bay Master Fund, Ltd. and (b) Mintz, Levin, Cohn, Ferris, Glovsky</w:t>
              </w:r>
            </w:hyperlink>
          </w:p>
        </w:tc>
      </w:tr>
      <w:tr>
        <w:trPr>
          <w:trHeight w:val="196"/>
        </w:trPr>
        <w:tc>
          <w:tcPr>
            <w:tcW w:w="100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and Popeo, P.C., on behalf of the Company. (incorporated by reference to the Company’s Registration Statement on Form S-1 filed on</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November 19, 2018.)</w:t>
              </w:r>
            </w:hyperlink>
          </w:p>
        </w:tc>
      </w:tr>
      <w:tr>
        <w:trPr>
          <w:trHeight w:val="20"/>
        </w:trPr>
        <w:tc>
          <w:tcPr>
            <w:tcW w:w="10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10.16</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Engagement Letter, dated as of October 12, 2018, by and between Microbot Medical Inc. and H.C. Wainwright &amp; Co., LLC (incorporated by</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reference to the Registrant’s Current Report on Form 8-K filed on January 16, 2019)</w:t>
              </w:r>
            </w:hyperlink>
          </w:p>
        </w:tc>
      </w:tr>
      <w:tr>
        <w:trPr>
          <w:trHeight w:val="20"/>
        </w:trPr>
        <w:tc>
          <w:tcPr>
            <w:tcW w:w="100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10.17</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Form of Securities Purchase Agreement, dated as of January 14, 2019, by and among Microbot Medical Inc., and the Purchaser (incorporated</w:t>
              </w:r>
            </w:hyperlink>
          </w:p>
        </w:tc>
      </w:tr>
      <w:tr>
        <w:trPr>
          <w:trHeight w:val="196"/>
        </w:trPr>
        <w:tc>
          <w:tcPr>
            <w:tcW w:w="1000" w:type="dxa"/>
            <w:vAlign w:val="bottom"/>
          </w:tcPr>
          <w:p>
            <w:pPr>
              <w:spacing w:after="0"/>
              <w:rPr>
                <w:sz w:val="17"/>
                <w:szCs w:val="17"/>
                <w:color w:val="auto"/>
              </w:rPr>
            </w:pP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by reference to the Registrant’s Current Report on Form 8-K filed on January 16, 2019)</w:t>
              </w:r>
            </w:hyperlink>
          </w:p>
        </w:tc>
        <w:tc>
          <w:tcPr>
            <w:tcW w:w="3940" w:type="dxa"/>
            <w:vAlign w:val="bottom"/>
            <w:gridSpan w:val="10"/>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10.18</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Form of Securities Purchase Agreement, dated as of January 15, 2019, by and among Microbot Medical Inc., and the Purchaser (incorporated</w:t>
              </w:r>
            </w:hyperlink>
          </w:p>
        </w:tc>
      </w:tr>
      <w:tr>
        <w:trPr>
          <w:trHeight w:val="196"/>
        </w:trPr>
        <w:tc>
          <w:tcPr>
            <w:tcW w:w="1000" w:type="dxa"/>
            <w:vAlign w:val="bottom"/>
          </w:tcPr>
          <w:p>
            <w:pPr>
              <w:spacing w:after="0"/>
              <w:rPr>
                <w:sz w:val="17"/>
                <w:szCs w:val="17"/>
                <w:color w:val="auto"/>
              </w:rPr>
            </w:pP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by reference to the Registrant’s Current Report on Form 8-K filed on January 17, 2019)</w:t>
              </w:r>
            </w:hyperlink>
          </w:p>
        </w:tc>
        <w:tc>
          <w:tcPr>
            <w:tcW w:w="3940" w:type="dxa"/>
            <w:vAlign w:val="bottom"/>
            <w:gridSpan w:val="10"/>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8"/>
              </w:rPr>
              <w:t>10.19</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Form of Securities Purchase Agreement, dated as of January 23, 2019, by and among Microbot Medical Inc., and the Purchaser (incorporated</w:t>
              </w:r>
            </w:hyperlink>
          </w:p>
        </w:tc>
      </w:tr>
      <w:tr>
        <w:trPr>
          <w:trHeight w:val="196"/>
        </w:trPr>
        <w:tc>
          <w:tcPr>
            <w:tcW w:w="1000" w:type="dxa"/>
            <w:vAlign w:val="bottom"/>
          </w:tcPr>
          <w:p>
            <w:pPr>
              <w:spacing w:after="0"/>
              <w:rPr>
                <w:sz w:val="17"/>
                <w:szCs w:val="17"/>
                <w:color w:val="auto"/>
              </w:rPr>
            </w:pP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by reference to the Registrant’s Current Report on Form 8-K filed on January 25, 2019)</w:t>
              </w:r>
            </w:hyperlink>
          </w:p>
        </w:tc>
        <w:tc>
          <w:tcPr>
            <w:tcW w:w="3940" w:type="dxa"/>
            <w:vAlign w:val="bottom"/>
            <w:gridSpan w:val="10"/>
          </w:tcPr>
          <w:p>
            <w:pPr>
              <w:spacing w:after="0"/>
              <w:rPr>
                <w:sz w:val="17"/>
                <w:szCs w:val="17"/>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91"/>
              </w:rPr>
              <w:t>21.1</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Subsidiaries of the Company (incorporated by reference to the Company’s Annual Report on Form 10-K for the fiscal year ended December</w:t>
              </w:r>
            </w:hyperlink>
          </w:p>
        </w:tc>
      </w:tr>
      <w:tr>
        <w:trPr>
          <w:trHeight w:val="196"/>
        </w:trPr>
        <w:tc>
          <w:tcPr>
            <w:tcW w:w="100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31, 2016 and filed on March 21, 2017).</w:t>
              </w:r>
            </w:hyperlink>
          </w:p>
        </w:tc>
        <w:tc>
          <w:tcPr>
            <w:tcW w:w="7420" w:type="dxa"/>
            <w:vAlign w:val="bottom"/>
            <w:gridSpan w:val="17"/>
          </w:tcPr>
          <w:p>
            <w:pPr>
              <w:spacing w:after="0"/>
              <w:rPr>
                <w:sz w:val="17"/>
                <w:szCs w:val="17"/>
                <w:color w:val="auto"/>
              </w:rPr>
            </w:pPr>
          </w:p>
        </w:tc>
      </w:tr>
      <w:tr>
        <w:trPr>
          <w:trHeight w:val="196"/>
        </w:trPr>
        <w:tc>
          <w:tcPr>
            <w:tcW w:w="10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31.1</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Certification Pursuant to Securities Exchange Act Rule 13(a)-14(a), as Adopted Pursuant to Section 302 of the Sarbanes-Oxley Act of 2002</w:t>
              </w:r>
            </w:hyperlink>
          </w:p>
        </w:tc>
      </w:tr>
      <w:tr>
        <w:trPr>
          <w:trHeight w:val="196"/>
        </w:trPr>
        <w:tc>
          <w:tcPr>
            <w:tcW w:w="10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(Harel Gadot, Chief Executive Officer)</w:t>
              </w:r>
            </w:hyperlink>
          </w:p>
        </w:tc>
      </w:tr>
      <w:tr>
        <w:trPr>
          <w:trHeight w:val="20"/>
        </w:trPr>
        <w:tc>
          <w:tcPr>
            <w:tcW w:w="100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1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31.2</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Pursuant to Securities Exchange Act Rule 13(a)-14(a), as Adopted Pursuant to Section 302 of the Sarbanes-Oxley Act of 2002</w:t>
              </w:r>
            </w:hyperlink>
          </w:p>
        </w:tc>
      </w:tr>
      <w:tr>
        <w:trPr>
          <w:trHeight w:val="196"/>
        </w:trPr>
        <w:tc>
          <w:tcPr>
            <w:tcW w:w="1000" w:type="dxa"/>
            <w:vAlign w:val="bottom"/>
          </w:tcPr>
          <w:p>
            <w:pPr>
              <w:spacing w:after="0"/>
              <w:rPr>
                <w:sz w:val="17"/>
                <w:szCs w:val="17"/>
                <w:color w:val="auto"/>
              </w:rPr>
            </w:pPr>
          </w:p>
        </w:tc>
        <w:tc>
          <w:tcPr>
            <w:tcW w:w="31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(David Ben Naim, Chief Financial Officer)</w:t>
              </w:r>
            </w:hyperlink>
          </w:p>
        </w:tc>
        <w:tc>
          <w:tcPr>
            <w:tcW w:w="7140" w:type="dxa"/>
            <w:vAlign w:val="bottom"/>
            <w:gridSpan w:val="16"/>
          </w:tcPr>
          <w:p>
            <w:pPr>
              <w:spacing w:after="0"/>
              <w:rPr>
                <w:sz w:val="17"/>
                <w:szCs w:val="17"/>
                <w:color w:val="auto"/>
              </w:rPr>
            </w:pPr>
          </w:p>
        </w:tc>
      </w:tr>
      <w:tr>
        <w:trPr>
          <w:trHeight w:val="196"/>
        </w:trPr>
        <w:tc>
          <w:tcPr>
            <w:tcW w:w="10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32.1</w:t>
            </w: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Certification Pursuant to 18 U.S.C. Section 1350, As Adopted Pursuant to Section 906 of the Sarbanes-Oxley Act of 2002 (Harel Gadot,</w:t>
              </w:r>
            </w:hyperlink>
          </w:p>
        </w:tc>
      </w:tr>
      <w:tr>
        <w:trPr>
          <w:trHeight w:val="196"/>
        </w:trPr>
        <w:tc>
          <w:tcPr>
            <w:tcW w:w="100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Chief Executive Officer)</w:t>
              </w:r>
            </w:hyperlink>
          </w:p>
        </w:tc>
        <w:tc>
          <w:tcPr>
            <w:tcW w:w="8460" w:type="dxa"/>
            <w:vAlign w:val="bottom"/>
            <w:gridSpan w:val="20"/>
          </w:tcPr>
          <w:p>
            <w:pPr>
              <w:spacing w:after="0"/>
              <w:rPr>
                <w:sz w:val="17"/>
                <w:szCs w:val="17"/>
                <w:color w:val="auto"/>
              </w:rPr>
            </w:pPr>
          </w:p>
        </w:tc>
      </w:tr>
      <w:tr>
        <w:trPr>
          <w:trHeight w:val="196"/>
        </w:trPr>
        <w:tc>
          <w:tcPr>
            <w:tcW w:w="10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32.2</w:t>
            </w:r>
          </w:p>
        </w:tc>
        <w:tc>
          <w:tcPr>
            <w:tcW w:w="10260" w:type="dxa"/>
            <w:vAlign w:val="bottom"/>
            <w:gridSpan w:val="27"/>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Pursuant to 18 U.S.C. Section 1350, As Adopted Pursuant to Section 906 of the Sarbanes-Oxley Act of 2002 (David Ben Naim,</w:t>
              </w:r>
            </w:hyperlink>
          </w:p>
        </w:tc>
      </w:tr>
      <w:tr>
        <w:trPr>
          <w:trHeight w:val="196"/>
        </w:trPr>
        <w:tc>
          <w:tcPr>
            <w:tcW w:w="1000" w:type="dxa"/>
            <w:vAlign w:val="bottom"/>
          </w:tcPr>
          <w:p>
            <w:pPr>
              <w:spacing w:after="0"/>
              <w:rPr>
                <w:sz w:val="17"/>
                <w:szCs w:val="17"/>
                <w:color w:val="auto"/>
              </w:rPr>
            </w:pPr>
          </w:p>
        </w:tc>
        <w:tc>
          <w:tcPr>
            <w:tcW w:w="102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Chief Financial Officer)</w:t>
              </w:r>
            </w:hyperlink>
          </w:p>
        </w:tc>
        <w:tc>
          <w:tcPr>
            <w:tcW w:w="20" w:type="dxa"/>
            <w:vAlign w:val="bottom"/>
          </w:tcPr>
          <w:p>
            <w:pPr>
              <w:spacing w:after="0"/>
              <w:rPr>
                <w:sz w:val="17"/>
                <w:szCs w:val="17"/>
                <w:color w:val="auto"/>
              </w:rPr>
            </w:pPr>
          </w:p>
        </w:tc>
      </w:tr>
      <w:tr>
        <w:trPr>
          <w:trHeight w:val="222"/>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17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XBRL Instance.</w:t>
            </w:r>
          </w:p>
        </w:tc>
        <w:tc>
          <w:tcPr>
            <w:tcW w:w="8520" w:type="dxa"/>
            <w:vAlign w:val="bottom"/>
            <w:gridSpan w:val="21"/>
          </w:tcPr>
          <w:p>
            <w:pPr>
              <w:spacing w:after="0"/>
              <w:rPr>
                <w:sz w:val="19"/>
                <w:szCs w:val="19"/>
                <w:color w:val="auto"/>
              </w:rPr>
            </w:pPr>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856"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2019</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4"/>
        </w:trPr>
        <w:tc>
          <w:tcPr>
            <w:tcW w:w="2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720" w:type="dxa"/>
            <w:vAlign w:val="bottom"/>
            <w:shd w:val="clear" w:color="auto" w:fill="000000"/>
          </w:tcPr>
          <w:p>
            <w:pPr>
              <w:spacing w:after="0"/>
              <w:rPr>
                <w:sz w:val="2"/>
                <w:szCs w:val="2"/>
                <w:color w:val="auto"/>
              </w:rPr>
            </w:pPr>
          </w:p>
        </w:tc>
      </w:tr>
      <w:tr>
        <w:trPr>
          <w:trHeight w:val="453"/>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Harel Gadot</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Harel Gadot</w:t>
            </w:r>
          </w:p>
        </w:tc>
        <w:tc>
          <w:tcPr>
            <w:tcW w:w="240" w:type="dxa"/>
            <w:vAlign w:val="bottom"/>
          </w:tcPr>
          <w:p>
            <w:pPr>
              <w:spacing w:after="0"/>
              <w:rPr>
                <w:sz w:val="20"/>
                <w:szCs w:val="20"/>
                <w:color w:val="auto"/>
              </w:rPr>
            </w:pPr>
          </w:p>
        </w:tc>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2720" w:type="dxa"/>
            <w:vAlign w:val="bottom"/>
          </w:tcPr>
          <w:p>
            <w:pPr>
              <w:spacing w:after="0"/>
              <w:rPr>
                <w:sz w:val="20"/>
                <w:szCs w:val="20"/>
                <w:color w:val="auto"/>
              </w:rPr>
            </w:pPr>
          </w:p>
        </w:tc>
      </w:tr>
      <w:tr>
        <w:trPr>
          <w:trHeight w:val="4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David Ben Naim</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David Ben Naim</w:t>
            </w:r>
          </w:p>
        </w:tc>
        <w:tc>
          <w:tcPr>
            <w:tcW w:w="240" w:type="dxa"/>
            <w:vAlign w:val="bottom"/>
          </w:tcPr>
          <w:p>
            <w:pPr>
              <w:spacing w:after="0"/>
              <w:rPr>
                <w:sz w:val="20"/>
                <w:szCs w:val="20"/>
                <w:color w:val="auto"/>
              </w:rPr>
            </w:pPr>
          </w:p>
        </w:tc>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2720" w:type="dxa"/>
            <w:vAlign w:val="bottom"/>
          </w:tcPr>
          <w:p>
            <w:pPr>
              <w:spacing w:after="0"/>
              <w:rPr>
                <w:sz w:val="20"/>
                <w:szCs w:val="20"/>
                <w:color w:val="auto"/>
              </w:rPr>
            </w:pPr>
          </w:p>
        </w:tc>
      </w:tr>
      <w:tr>
        <w:trPr>
          <w:trHeight w:val="4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Yoav Waizer</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Yoav Waizer</w:t>
            </w: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Yoseph Bornstein</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Yoseph Bornstein</w:t>
            </w: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Prattipati Laxminarain</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Prattipati Laxminarain</w:t>
            </w: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4"/>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Scott Burell</w:t>
            </w: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Scott Burell</w:t>
            </w: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4"/>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1"/>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2550"/>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rPr>
              <w:t>MICROBOT MEDICAL INC.</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840" w:type="dxa"/>
            <w:vAlign w:val="bottom"/>
            <w:gridSpan w:val="5"/>
          </w:tcPr>
          <w:p>
            <w:pPr>
              <w:jc w:val="center"/>
              <w:ind w:right="2240"/>
              <w:spacing w:after="0"/>
              <w:rPr>
                <w:sz w:val="20"/>
                <w:szCs w:val="20"/>
                <w:color w:val="auto"/>
              </w:rPr>
            </w:pPr>
            <w:r>
              <w:rPr>
                <w:rFonts w:ascii="Arial" w:cs="Arial" w:eastAsia="Arial" w:hAnsi="Arial"/>
                <w:sz w:val="18"/>
                <w:szCs w:val="18"/>
                <w:b w:val="1"/>
                <w:bCs w:val="1"/>
                <w:color w:val="auto"/>
              </w:rPr>
              <w:t>CONSOLIDATED FINANCIAL 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4"/>
          </w:tcPr>
          <w:p>
            <w:pPr>
              <w:jc w:val="center"/>
              <w:ind w:right="3040"/>
              <w:spacing w:after="0"/>
              <w:rPr>
                <w:sz w:val="20"/>
                <w:szCs w:val="20"/>
                <w:color w:val="auto"/>
              </w:rPr>
            </w:pPr>
            <w:r>
              <w:rPr>
                <w:rFonts w:ascii="Arial" w:cs="Arial" w:eastAsia="Arial" w:hAnsi="Arial"/>
                <w:sz w:val="18"/>
                <w:szCs w:val="18"/>
                <w:b w:val="1"/>
                <w:bCs w:val="1"/>
                <w:color w:val="auto"/>
                <w:w w:val="95"/>
              </w:rPr>
              <w:t>AS OF DECEMBER 31, 2018</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840" w:type="dxa"/>
            <w:vAlign w:val="bottom"/>
            <w:gridSpan w:val="5"/>
          </w:tcPr>
          <w:p>
            <w:pPr>
              <w:jc w:val="center"/>
              <w:ind w:right="2240"/>
              <w:spacing w:after="0"/>
              <w:rPr>
                <w:sz w:val="20"/>
                <w:szCs w:val="20"/>
                <w:color w:val="auto"/>
              </w:rPr>
            </w:pPr>
            <w:r>
              <w:rPr>
                <w:rFonts w:ascii="Arial" w:cs="Arial" w:eastAsia="Arial" w:hAnsi="Arial"/>
                <w:sz w:val="18"/>
                <w:szCs w:val="18"/>
                <w:b w:val="1"/>
                <w:bCs w:val="1"/>
                <w:color w:val="auto"/>
              </w:rPr>
              <w:t>INDEX TO FINANCIAL 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6"/>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2018, and 2017</w:t>
              </w:r>
            </w:hyperlink>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Comprehensive Loss for the years ended December 31, 2018 and 2017</w:t>
              </w:r>
            </w:hyperlink>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6"/>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Shareholders’ Equity for the years ended December 31, 2018 and 2017</w:t>
              </w:r>
            </w:hyperlink>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years ended December 31, 2018 and 2017</w:t>
              </w:r>
            </w:hyperlink>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6"/>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Notes to the Consolidated Financial Statements</w:t>
              </w:r>
            </w:hyperlink>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F-7-F-23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jc w:val="center"/>
              <w:ind w:right="3520"/>
              <w:spacing w:after="0"/>
              <w:rPr>
                <w:sz w:val="20"/>
                <w:szCs w:val="20"/>
                <w:color w:val="auto"/>
              </w:rPr>
            </w:pPr>
            <w:r>
              <w:rPr>
                <w:rFonts w:ascii="Arial" w:cs="Arial" w:eastAsia="Arial" w:hAnsi="Arial"/>
                <w:sz w:val="18"/>
                <w:szCs w:val="18"/>
                <w:color w:val="auto"/>
                <w:w w:val="88"/>
              </w:rPr>
              <w:t>F-1</w:t>
            </w:r>
          </w:p>
        </w:tc>
        <w:tc>
          <w:tcPr>
            <w:tcW w:w="1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Board of Directors of Microbot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2018 and 2017 and the related consolidated statements of comprehensive loss, changes in shareholders’ equity and cash flows for each of the two years in the period ended December 31, 2018, and the related notes (collectively referred to as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As of December 31,</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4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ASSETS</w:t>
            </w: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5,238</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6,090</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2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Other accrued liabilities</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3,375</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4,768</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stock of $0.01 par value; issued and outstanding: 0 and</w:t>
            </w: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721,107 shares as of December 31, 2018 and 2017</w:t>
            </w: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3"/>
          </w:tcPr>
          <w:p>
            <w:pPr>
              <w:spacing w:after="0" w:line="201" w:lineRule="exact"/>
              <w:rPr>
                <w:sz w:val="20"/>
                <w:szCs w:val="20"/>
                <w:color w:val="auto"/>
              </w:rPr>
            </w:pPr>
            <w:r>
              <w:rPr>
                <w:rFonts w:ascii="Arial" w:cs="Arial" w:eastAsia="Arial" w:hAnsi="Arial"/>
                <w:sz w:val="18"/>
                <w:szCs w:val="18"/>
                <w:color w:val="auto"/>
                <w:w w:val="97"/>
              </w:rPr>
              <w:t>Preferred stock of $0.01 par value; Authorized: 1,000,000 shares as of</w:t>
            </w: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December 31, 2018 and 2017; issued and outstanding: 0 and 4,001</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4"/>
          </w:tcPr>
          <w:p>
            <w:pPr>
              <w:spacing w:after="0"/>
              <w:rPr>
                <w:sz w:val="20"/>
                <w:szCs w:val="20"/>
                <w:color w:val="auto"/>
              </w:rPr>
            </w:pPr>
            <w:r>
              <w:rPr>
                <w:rFonts w:ascii="Arial" w:cs="Arial" w:eastAsia="Arial" w:hAnsi="Arial"/>
                <w:sz w:val="18"/>
                <w:szCs w:val="18"/>
                <w:color w:val="auto"/>
              </w:rPr>
              <w:t>shares as of December 31, 2018 and 2017, respectively</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stock of $0.01 par value; Authorized: 220,000,000 as of</w:t>
            </w: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December 31, 2018 and 2017; issued and outstanding (**): 3,012,343</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and 2,013,193 shares as of December 31, 2018, and December 31, 2017,</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respectively</w:t>
            </w: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32,530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(27,864)</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6,090</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hanging="652"/>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 Refer to Note 1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6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Note</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2,515</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4,729</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7,240</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Weighted-average number of common shares outstanding, basic and diluted</w:t>
            </w: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2,904,253</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 Refer to Note 1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w w:val="92"/>
              </w:rPr>
              <w:t>Preferred A Shares</w:t>
            </w:r>
          </w:p>
        </w:tc>
        <w:tc>
          <w:tcPr>
            <w:tcW w:w="80" w:type="dxa"/>
            <w:vAlign w:val="bottom"/>
          </w:tcPr>
          <w:p>
            <w:pPr>
              <w:spacing w:after="0"/>
              <w:rPr>
                <w:sz w:val="20"/>
                <w:szCs w:val="20"/>
                <w:color w:val="auto"/>
              </w:rPr>
            </w:pPr>
          </w:p>
        </w:tc>
        <w:tc>
          <w:tcPr>
            <w:tcW w:w="1940" w:type="dxa"/>
            <w:vAlign w:val="bottom"/>
            <w:gridSpan w:val="4"/>
          </w:tcPr>
          <w:p>
            <w:pPr>
              <w:ind w:left="360"/>
              <w:spacing w:after="0"/>
              <w:rPr>
                <w:sz w:val="20"/>
                <w:szCs w:val="20"/>
                <w:color w:val="auto"/>
              </w:rPr>
            </w:pPr>
            <w:r>
              <w:rPr>
                <w:rFonts w:ascii="Arial" w:cs="Arial" w:eastAsia="Arial" w:hAnsi="Arial"/>
                <w:sz w:val="16"/>
                <w:szCs w:val="16"/>
                <w:b w:val="1"/>
                <w:bCs w:val="1"/>
                <w:color w:val="auto"/>
              </w:rPr>
              <w:t>Common Stock (***)</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Additional</w:t>
            </w:r>
          </w:p>
        </w:tc>
        <w:tc>
          <w:tcPr>
            <w:tcW w:w="1000" w:type="dxa"/>
            <w:vAlign w:val="bottom"/>
            <w:gridSpan w:val="4"/>
          </w:tcPr>
          <w:p>
            <w:pPr>
              <w:ind w:left="100"/>
              <w:spacing w:after="0"/>
              <w:rPr>
                <w:sz w:val="20"/>
                <w:szCs w:val="20"/>
                <w:color w:val="auto"/>
              </w:rPr>
            </w:pPr>
            <w:r>
              <w:rPr>
                <w:rFonts w:ascii="Arial" w:cs="Arial" w:eastAsia="Arial" w:hAnsi="Arial"/>
                <w:sz w:val="16"/>
                <w:szCs w:val="16"/>
                <w:b w:val="1"/>
                <w:bCs w:val="1"/>
                <w:color w:val="auto"/>
              </w:rPr>
              <w:t>Treasury</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80"/>
              <w:spacing w:after="0" w:line="175" w:lineRule="exact"/>
              <w:rPr>
                <w:sz w:val="20"/>
                <w:szCs w:val="20"/>
                <w:color w:val="auto"/>
              </w:rPr>
            </w:pPr>
            <w:r>
              <w:rPr>
                <w:rFonts w:ascii="Arial" w:cs="Arial" w:eastAsia="Arial" w:hAnsi="Arial"/>
                <w:sz w:val="16"/>
                <w:szCs w:val="16"/>
                <w:b w:val="1"/>
                <w:bCs w:val="1"/>
                <w:color w:val="auto"/>
                <w:w w:val="95"/>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85"/>
              </w:rPr>
              <w:t>shares</w:t>
            </w:r>
          </w:p>
        </w:tc>
        <w:tc>
          <w:tcPr>
            <w:tcW w:w="11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Accumulated</w:t>
            </w:r>
          </w:p>
        </w:tc>
        <w:tc>
          <w:tcPr>
            <w:tcW w:w="12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shareholders’</w:t>
            </w:r>
          </w:p>
        </w:tc>
        <w:tc>
          <w:tcPr>
            <w:tcW w:w="8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Temporary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Number</w:t>
            </w:r>
          </w:p>
        </w:tc>
        <w:tc>
          <w:tcPr>
            <w:tcW w:w="9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Number</w:t>
            </w:r>
          </w:p>
        </w:tc>
        <w:tc>
          <w:tcPr>
            <w:tcW w:w="980" w:type="dxa"/>
            <w:vAlign w:val="bottom"/>
            <w:gridSpan w:val="4"/>
          </w:tcPr>
          <w:p>
            <w:pPr>
              <w:ind w:left="1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equity</w:t>
            </w: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equity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Balances, December 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2016</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9,736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(**)1,788,884</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14,713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(13,035)</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1,696</w:t>
            </w:r>
          </w:p>
        </w:tc>
        <w:tc>
          <w:tcPr>
            <w:tcW w:w="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20"/>
                <w:szCs w:val="20"/>
                <w:color w:val="auto"/>
              </w:rPr>
            </w:pPr>
            <w:r>
              <w:rPr>
                <w:rFonts w:ascii="Arial" w:cs="Arial" w:eastAsia="Arial" w:hAnsi="Arial"/>
                <w:sz w:val="16"/>
                <w:szCs w:val="16"/>
                <w:color w:val="auto"/>
                <w:w w:val="95"/>
              </w:rPr>
              <w:t>Issuance of common stock</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299,815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12,699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12,702</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w w:val="91"/>
              </w:rPr>
              <w:t>Share-based compensation</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8,085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479</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Exercise of options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31,787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Cashless exercise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Extinguishment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rPr>
                <w:sz w:val="20"/>
                <w:szCs w:val="20"/>
                <w:color w:val="auto"/>
              </w:rPr>
            </w:pPr>
            <w:r>
              <w:rPr>
                <w:rFonts w:ascii="Arial" w:cs="Arial" w:eastAsia="Arial" w:hAnsi="Arial"/>
                <w:sz w:val="16"/>
                <w:szCs w:val="16"/>
                <w:color w:val="auto"/>
              </w:rPr>
              <w:t>convertible notes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rPr>
                <w:sz w:val="20"/>
                <w:szCs w:val="20"/>
                <w:color w:val="auto"/>
              </w:rPr>
            </w:pPr>
            <w:r>
              <w:rPr>
                <w:rFonts w:ascii="Arial" w:cs="Arial" w:eastAsia="Arial" w:hAnsi="Arial"/>
                <w:sz w:val="16"/>
                <w:szCs w:val="16"/>
                <w:color w:val="auto"/>
              </w:rPr>
              <w:t>issuance of preferred 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gridSpan w:val="2"/>
          </w:tcPr>
          <w:p>
            <w:pPr>
              <w:spacing w:after="0"/>
              <w:rPr>
                <w:sz w:val="20"/>
                <w:szCs w:val="20"/>
                <w:color w:val="auto"/>
              </w:rPr>
            </w:pPr>
            <w:r>
              <w:rPr>
                <w:rFonts w:ascii="Arial" w:cs="Arial" w:eastAsia="Arial" w:hAnsi="Arial"/>
                <w:sz w:val="16"/>
                <w:szCs w:val="16"/>
                <w:color w:val="auto"/>
              </w:rPr>
              <w:t>shares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3,255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2,676</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w w:val="98"/>
              </w:rPr>
              <w:t>Conversion of preferred 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shares to common stock</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(8,990)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605,705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(7,589)</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(7,589)</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8"/>
              </w:rPr>
              <w:t>Balances, December 31,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2017</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2,734,300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30,561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(20,624)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9,964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20"/>
                <w:szCs w:val="20"/>
                <w:color w:val="auto"/>
              </w:rPr>
            </w:pPr>
            <w:r>
              <w:rPr>
                <w:rFonts w:ascii="Arial" w:cs="Arial" w:eastAsia="Arial" w:hAnsi="Arial"/>
                <w:sz w:val="16"/>
                <w:szCs w:val="16"/>
                <w:color w:val="auto"/>
                <w:w w:val="91"/>
              </w:rPr>
              <w:t>Share-based compensation</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1,399</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Exercise of options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2,487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w w:val="95"/>
              </w:rPr>
              <w:t>Common shares classified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40" w:type="dxa"/>
            <w:vAlign w:val="bottom"/>
            <w:gridSpan w:val="2"/>
          </w:tcPr>
          <w:p>
            <w:pPr>
              <w:spacing w:after="0"/>
              <w:rPr>
                <w:sz w:val="20"/>
                <w:szCs w:val="20"/>
                <w:color w:val="auto"/>
              </w:rPr>
            </w:pPr>
            <w:r>
              <w:rPr>
                <w:rFonts w:ascii="Arial" w:cs="Arial" w:eastAsia="Arial" w:hAnsi="Arial"/>
                <w:sz w:val="16"/>
                <w:szCs w:val="16"/>
                <w:color w:val="auto"/>
              </w:rPr>
              <w:t>out of temporary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500</w:t>
            </w:r>
          </w:p>
        </w:tc>
        <w:tc>
          <w:tcPr>
            <w:tcW w:w="2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Shares issued as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consideration-vendor</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6,738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w w:val="98"/>
              </w:rPr>
              <w:t>Conversion of preferred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40" w:type="dxa"/>
            <w:vAlign w:val="bottom"/>
            <w:gridSpan w:val="2"/>
          </w:tcPr>
          <w:p>
            <w:pPr>
              <w:spacing w:after="0"/>
              <w:rPr>
                <w:sz w:val="20"/>
                <w:szCs w:val="20"/>
                <w:color w:val="auto"/>
              </w:rPr>
            </w:pPr>
            <w:r>
              <w:rPr>
                <w:rFonts w:ascii="Arial" w:cs="Arial" w:eastAsia="Arial" w:hAnsi="Arial"/>
                <w:sz w:val="16"/>
                <w:szCs w:val="16"/>
                <w:color w:val="auto"/>
              </w:rPr>
              <w:t>shares to common stock</w:t>
            </w:r>
          </w:p>
        </w:tc>
        <w:tc>
          <w:tcPr>
            <w:tcW w:w="820" w:type="dxa"/>
            <w:vAlign w:val="bottom"/>
            <w:gridSpan w:val="4"/>
          </w:tcPr>
          <w:p>
            <w:pPr>
              <w:jc w:val="right"/>
              <w:ind w:right="100"/>
              <w:spacing w:after="0"/>
              <w:rPr>
                <w:sz w:val="20"/>
                <w:szCs w:val="20"/>
                <w:color w:val="auto"/>
              </w:rPr>
            </w:pPr>
            <w:r>
              <w:rPr>
                <w:rFonts w:ascii="Arial" w:cs="Arial" w:eastAsia="Arial" w:hAnsi="Arial"/>
                <w:sz w:val="16"/>
                <w:szCs w:val="16"/>
                <w:color w:val="auto"/>
              </w:rPr>
              <w:t>(4,001)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268,818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Rescission of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purchase agreement</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(7,240)</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(7,240)</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b w:val="1"/>
                <w:bCs w:val="1"/>
                <w:color w:val="auto"/>
                <w:w w:val="98"/>
              </w:rPr>
              <w:t>Balances, December 31,</w:t>
            </w:r>
          </w:p>
        </w:tc>
        <w:tc>
          <w:tcPr>
            <w:tcW w:w="820" w:type="dxa"/>
            <w:vAlign w:val="bottom"/>
            <w:gridSpan w:val="4"/>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**3,012,343</w:t>
            </w:r>
          </w:p>
        </w:tc>
        <w:tc>
          <w:tcPr>
            <w:tcW w:w="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28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32,530</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(3,375)</w:t>
            </w: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(27,864)</w:t>
            </w: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1,322</w:t>
            </w:r>
          </w:p>
        </w:tc>
        <w:tc>
          <w:tcPr>
            <w:tcW w:w="2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2018</w:t>
            </w:r>
          </w:p>
        </w:tc>
        <w:tc>
          <w:tcPr>
            <w:tcW w:w="820" w:type="dxa"/>
            <w:vAlign w:val="bottom"/>
            <w:gridSpan w:val="4"/>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Refer to Note 8 for further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Less than 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Includes 721,107 common stock classified as temporary equity as of December 31, 2017.</w:t>
      </w:r>
    </w:p>
    <w:p>
      <w:pPr>
        <w:spacing w:after="0" w:line="225" w:lineRule="exact"/>
        <w:rPr>
          <w:sz w:val="20"/>
          <w:szCs w:val="20"/>
          <w:color w:val="auto"/>
        </w:rPr>
      </w:pPr>
    </w:p>
    <w:p>
      <w:pPr>
        <w:ind w:firstLine="8"/>
        <w:spacing w:after="0" w:line="277" w:lineRule="auto"/>
        <w:tabs>
          <w:tab w:leader="none" w:pos="4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31, 2016 and 2017 share data represent the number of shares adjusted to retroactively reflect the 1:15 reverse stock split effected on September 4, 2018. Refer to Note 1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9"/>
              </w:rPr>
              <w:t>Years ended December 31,</w:t>
            </w:r>
          </w:p>
        </w:tc>
        <w:tc>
          <w:tcPr>
            <w:tcW w:w="13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(7,240)</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Depreciation</w:t>
            </w:r>
          </w:p>
        </w:tc>
        <w:tc>
          <w:tcPr>
            <w:tcW w:w="1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discount on convertible notes</w:t>
            </w:r>
          </w:p>
        </w:tc>
        <w:tc>
          <w:tcPr>
            <w:tcW w:w="1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Financing loss on debt extinguishment</w:t>
            </w:r>
          </w:p>
        </w:tc>
        <w:tc>
          <w:tcPr>
            <w:tcW w:w="1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Shares issued as consideration-vendor</w:t>
            </w:r>
          </w:p>
        </w:tc>
        <w:tc>
          <w:tcPr>
            <w:tcW w:w="1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Changes in assets and liabilities:</w:t>
            </w: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Other receivables</w:t>
            </w:r>
          </w:p>
        </w:tc>
        <w:tc>
          <w:tcPr>
            <w:tcW w:w="1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4"/>
          </w:tcPr>
          <w:p>
            <w:pPr>
              <w:ind w:left="400"/>
              <w:spacing w:after="0"/>
              <w:rPr>
                <w:sz w:val="20"/>
                <w:szCs w:val="20"/>
                <w:color w:val="auto"/>
              </w:rPr>
            </w:pPr>
            <w:r>
              <w:rPr>
                <w:rFonts w:ascii="Arial" w:cs="Arial" w:eastAsia="Arial" w:hAnsi="Arial"/>
                <w:sz w:val="18"/>
                <w:szCs w:val="18"/>
                <w:color w:val="auto"/>
              </w:rPr>
              <w:t>Other payables and accrued liabilities</w:t>
            </w:r>
          </w:p>
        </w:tc>
        <w:tc>
          <w:tcPr>
            <w:tcW w:w="13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3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gridSpan w:val="4"/>
          </w:tcPr>
          <w:p>
            <w:pPr>
              <w:spacing w:after="0" w:line="201" w:lineRule="exact"/>
              <w:rPr>
                <w:sz w:val="20"/>
                <w:szCs w:val="20"/>
                <w:color w:val="auto"/>
              </w:rPr>
            </w:pPr>
            <w:r>
              <w:rPr>
                <w:rFonts w:ascii="Arial" w:cs="Arial" w:eastAsia="Arial" w:hAnsi="Arial"/>
                <w:sz w:val="18"/>
                <w:szCs w:val="18"/>
                <w:color w:val="auto"/>
              </w:rPr>
              <w:t>Inflows in connection with current assets and liabilities acquired in reverse</w:t>
            </w: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gridSpan w:val="5"/>
          </w:tcPr>
          <w:p>
            <w:pPr>
              <w:spacing w:after="0"/>
              <w:rPr>
                <w:sz w:val="20"/>
                <w:szCs w:val="20"/>
                <w:color w:val="auto"/>
              </w:rPr>
            </w:pPr>
            <w:r>
              <w:rPr>
                <w:rFonts w:ascii="Arial" w:cs="Arial" w:eastAsia="Arial" w:hAnsi="Arial"/>
                <w:sz w:val="18"/>
                <w:szCs w:val="18"/>
                <w:color w:val="auto"/>
              </w:rPr>
              <w:t>recapitalization, net</w:t>
            </w:r>
          </w:p>
        </w:tc>
        <w:tc>
          <w:tcPr>
            <w:tcW w:w="13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Issuance of common stock, net of issuance costs</w:t>
            </w:r>
          </w:p>
        </w:tc>
        <w:tc>
          <w:tcPr>
            <w:tcW w:w="13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rPr>
          <w:sz w:val="20"/>
          <w:szCs w:val="20"/>
          <w:color w:val="auto"/>
        </w:rPr>
      </w:pPr>
      <w:r>
        <w:rPr>
          <w:rFonts w:ascii="Arial" w:cs="Arial" w:eastAsia="Arial" w:hAnsi="Arial"/>
          <w:sz w:val="18"/>
          <w:szCs w:val="18"/>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 and restricted cash at the beginning of the year</w:t>
      </w:r>
    </w:p>
    <w:p>
      <w:pPr>
        <w:spacing w:after="0" w:line="20" w:lineRule="exact"/>
        <w:rPr>
          <w:sz w:val="20"/>
          <w:szCs w:val="20"/>
          <w:color w:val="auto"/>
        </w:rPr>
      </w:pPr>
      <w:r>
        <w:rPr>
          <w:sz w:val="20"/>
          <w:szCs w:val="20"/>
          <w:color w:val="auto"/>
        </w:rPr>
        <w:br w:type="column"/>
      </w:r>
    </w:p>
    <w:p>
      <w:pPr>
        <w:ind w:left="240"/>
        <w:spacing w:after="0"/>
        <w:tabs>
          <w:tab w:leader="none" w:pos="2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13,019</w:t>
      </w:r>
    </w:p>
    <w:p>
      <w:pPr>
        <w:spacing w:after="0" w:line="251"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6"/>
          <w:szCs w:val="16"/>
          <w:color w:val="auto"/>
        </w:rPr>
        <w:t>(5,551)</w:t>
      </w:r>
      <w:r>
        <w:rPr>
          <w:sz w:val="20"/>
          <w:szCs w:val="20"/>
          <w:color w:val="auto"/>
        </w:rPr>
        <w:tab/>
      </w:r>
      <w:r>
        <w:rPr>
          <w:rFonts w:ascii="Arial" w:cs="Arial" w:eastAsia="Arial" w:hAnsi="Arial"/>
          <w:sz w:val="16"/>
          <w:szCs w:val="16"/>
          <w:color w:val="auto"/>
        </w:rPr>
        <w:t>8,105</w:t>
      </w:r>
    </w:p>
    <w:p>
      <w:pPr>
        <w:spacing w:after="0" w:line="262" w:lineRule="exact"/>
        <w:rPr>
          <w:sz w:val="20"/>
          <w:szCs w:val="20"/>
          <w:color w:val="auto"/>
        </w:rPr>
      </w:pPr>
    </w:p>
    <w:p>
      <w:pPr>
        <w:spacing w:after="0"/>
        <w:tabs>
          <w:tab w:leader="none" w:pos="2540" w:val="left"/>
        </w:tabs>
        <w:rPr>
          <w:sz w:val="20"/>
          <w:szCs w:val="20"/>
          <w:color w:val="auto"/>
        </w:rPr>
      </w:pPr>
      <w:r>
        <w:rPr>
          <w:rFonts w:ascii="Arial" w:cs="Arial" w:eastAsia="Arial" w:hAnsi="Arial"/>
          <w:sz w:val="16"/>
          <w:szCs w:val="16"/>
          <w:color w:val="auto"/>
        </w:rPr>
        <w:t>10,814</w:t>
      </w:r>
      <w:r>
        <w:rPr>
          <w:sz w:val="20"/>
          <w:szCs w:val="20"/>
          <w:color w:val="auto"/>
        </w:rPr>
        <w:tab/>
      </w:r>
      <w:r>
        <w:rPr>
          <w:rFonts w:ascii="Arial" w:cs="Arial" w:eastAsia="Arial" w:hAnsi="Arial"/>
          <w:sz w:val="16"/>
          <w:szCs w:val="16"/>
          <w:color w:val="auto"/>
        </w:rPr>
        <w:t>2,709</w:t>
      </w:r>
    </w:p>
    <w:p>
      <w:pPr>
        <w:spacing w:after="0" w:line="46" w:lineRule="exact"/>
        <w:rPr>
          <w:sz w:val="20"/>
          <w:szCs w:val="20"/>
          <w:color w:val="auto"/>
        </w:rPr>
      </w:pPr>
    </w:p>
    <w:p>
      <w:pPr>
        <w:sectPr>
          <w:pgSz w:w="11900" w:h="16838" w:orient="portrait"/>
          <w:cols w:equalWidth="0" w:num="2">
            <w:col w:w="7620" w:space="720"/>
            <w:col w:w="3080"/>
          </w:cols>
          <w:pgMar w:left="240" w:top="66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5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year</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5,263</w:t>
            </w: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2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Non-cash financing transactions:</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Rescission of share purchase agreement</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3,375</w:t>
            </w: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9"/>
              </w:rPr>
              <w:t>Extinguishment of convertible notes in exchange for Series A Convertible Preferred</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gridSpan w:val="4"/>
          </w:tcPr>
          <w:p>
            <w:pPr>
              <w:spacing w:after="0"/>
              <w:rPr>
                <w:sz w:val="20"/>
                <w:szCs w:val="20"/>
                <w:color w:val="auto"/>
              </w:rPr>
            </w:pPr>
            <w:r>
              <w:rPr>
                <w:rFonts w:ascii="Arial" w:cs="Arial" w:eastAsia="Arial" w:hAnsi="Arial"/>
                <w:sz w:val="18"/>
                <w:szCs w:val="18"/>
                <w:color w:val="auto"/>
              </w:rPr>
              <w:t>Stock</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fees included in other payables and accrued liabilities</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Temporary equity classified to permanent equity</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To date, the Company has not generated revenues from its operations. As of December 31, 2018, the Company had unrestricted cash and cash equivalent balance of approximately $5,238, which management believes is sufficient to fund its operations for more than 12 months from the date of issuance of these financial statements and sufficient to fund its operations necessary to continue development activities of its current proposed products, after taking into consideration the sale and issuance of common stock to investors for gross proceeds of approximately $11 million in cash during the first quarter of 2019 . Refer to Note 16 - “Subsequent Events” for further information.</w:t>
      </w:r>
    </w:p>
    <w:p>
      <w:pPr>
        <w:spacing w:after="0" w:line="172"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Due to continuing research and development activities, the Company expects to continue to incur additional losses for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0"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spacing w:after="0" w:line="218" w:lineRule="auto"/>
        <w:framePr w:w="10840" w:h="376" w:wrap="auto" w:vAnchor="page" w:hAnchor="page" w:x="860" w:y="5868"/>
        <w:rPr>
          <w:rFonts w:ascii="Arial" w:cs="Arial" w:eastAsia="Arial" w:hAnsi="Arial"/>
          <w:sz w:val="18"/>
          <w:szCs w:val="18"/>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209" w:lineRule="auto"/>
        <w:framePr w:w="7520" w:h="160" w:wrap="auto" w:vAnchor="page" w:hAnchor="page" w:x="860" w:y="5004"/>
        <w:rPr>
          <w:rFonts w:ascii="Arial" w:cs="Arial" w:eastAsia="Arial" w:hAnsi="Arial"/>
          <w:sz w:val="16"/>
          <w:szCs w:val="16"/>
          <w:color w:val="auto"/>
        </w:rPr>
      </w:pPr>
      <w:r>
        <w:rPr>
          <w:rFonts w:ascii="Arial" w:cs="Arial" w:eastAsia="Arial" w:hAnsi="Arial"/>
          <w:sz w:val="16"/>
          <w:szCs w:val="16"/>
          <w:color w:val="auto"/>
        </w:rPr>
        <w:t>The significant accounting policies applied in the preparation of the financial statements are as follows:</w:t>
      </w:r>
    </w:p>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were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left="620" w:hanging="612"/>
        <w:spacing w:after="0"/>
        <w:tabs>
          <w:tab w:leader="none" w:pos="6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00" w:lineRule="exact"/>
        <w:rPr>
          <w:rFonts w:ascii="Arial" w:cs="Arial" w:eastAsia="Arial" w:hAnsi="Arial"/>
          <w:sz w:val="16"/>
          <w:szCs w:val="16"/>
          <w:color w:val="auto"/>
        </w:rPr>
      </w:pPr>
    </w:p>
    <w:p>
      <w:pPr>
        <w:spacing w:after="0" w:line="44" w:lineRule="exact"/>
        <w:rPr>
          <w:rFonts w:ascii="Arial" w:cs="Arial" w:eastAsia="Arial" w:hAnsi="Arial"/>
          <w:sz w:val="16"/>
          <w:szCs w:val="16"/>
          <w:color w:val="auto"/>
        </w:rPr>
      </w:pPr>
    </w:p>
    <w:p>
      <w:pPr>
        <w:spacing w:after="0" w:line="252" w:lineRule="exact"/>
        <w:rPr>
          <w:rFonts w:ascii="Arial" w:cs="Arial" w:eastAsia="Arial" w:hAnsi="Arial"/>
          <w:sz w:val="16"/>
          <w:szCs w:val="16"/>
          <w:color w:val="auto"/>
        </w:rPr>
      </w:pPr>
    </w:p>
    <w:p>
      <w:pPr>
        <w:ind w:left="620" w:hanging="612"/>
        <w:spacing w:after="0"/>
        <w:tabs>
          <w:tab w:leader="none" w:pos="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rFonts w:ascii="Arial" w:cs="Arial" w:eastAsia="Arial" w:hAnsi="Arial"/>
          <w:sz w:val="16"/>
          <w:szCs w:val="16"/>
          <w:color w:val="auto"/>
        </w:rPr>
      </w:pPr>
    </w:p>
    <w:p>
      <w:pPr>
        <w:ind w:left="660" w:right="2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rFonts w:ascii="Arial" w:cs="Arial" w:eastAsia="Arial" w:hAnsi="Arial"/>
          <w:sz w:val="16"/>
          <w:szCs w:val="16"/>
          <w:color w:val="auto"/>
        </w:rPr>
      </w:pPr>
    </w:p>
    <w:p>
      <w:pPr>
        <w:ind w:left="660"/>
        <w:spacing w:after="0" w:line="277" w:lineRule="auto"/>
        <w:rPr>
          <w:sz w:val="20"/>
          <w:szCs w:val="20"/>
          <w:color w:val="auto"/>
        </w:rPr>
      </w:pPr>
      <w:r>
        <w:rPr>
          <w:rFonts w:ascii="Arial" w:cs="Arial" w:eastAsia="Arial" w:hAnsi="Arial"/>
          <w:sz w:val="18"/>
          <w:szCs w:val="18"/>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70" w:lineRule="exact"/>
        <w:rPr>
          <w:rFonts w:ascii="Arial" w:cs="Arial" w:eastAsia="Arial" w:hAnsi="Arial"/>
          <w:sz w:val="16"/>
          <w:szCs w:val="16"/>
          <w:color w:val="auto"/>
        </w:rPr>
      </w:pPr>
    </w:p>
    <w:p>
      <w:pPr>
        <w:ind w:left="660" w:right="2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6" w:lineRule="exact"/>
        <w:rPr>
          <w:rFonts w:ascii="Arial" w:cs="Arial" w:eastAsia="Arial" w:hAnsi="Arial"/>
          <w:sz w:val="16"/>
          <w:szCs w:val="16"/>
          <w:color w:val="auto"/>
        </w:rPr>
      </w:pPr>
    </w:p>
    <w:p>
      <w:pPr>
        <w:ind w:left="620" w:hanging="612"/>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6"/>
          <w:szCs w:val="16"/>
          <w:color w:val="auto"/>
        </w:rPr>
      </w:pPr>
    </w:p>
    <w:p>
      <w:pPr>
        <w:ind w:left="660"/>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rFonts w:ascii="Arial" w:cs="Arial" w:eastAsia="Arial" w:hAnsi="Arial"/>
          <w:sz w:val="16"/>
          <w:szCs w:val="16"/>
          <w:color w:val="auto"/>
        </w:rPr>
      </w:pPr>
    </w:p>
    <w:p>
      <w:pPr>
        <w:ind w:left="620" w:hanging="612"/>
        <w:spacing w:after="0"/>
        <w:tabs>
          <w:tab w:leader="none" w:pos="6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6"/>
          <w:szCs w:val="16"/>
          <w:color w:val="auto"/>
        </w:rPr>
      </w:pPr>
    </w:p>
    <w:p>
      <w:pPr>
        <w:ind w:left="660"/>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rFonts w:ascii="Arial" w:cs="Arial" w:eastAsia="Arial" w:hAnsi="Arial"/>
          <w:sz w:val="16"/>
          <w:szCs w:val="16"/>
          <w:color w:val="auto"/>
        </w:rPr>
      </w:pPr>
    </w:p>
    <w:p>
      <w:pPr>
        <w:ind w:left="660" w:right="2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7.</w:t>
      </w:r>
    </w:p>
    <w:p>
      <w:pPr>
        <w:spacing w:after="0" w:line="170" w:lineRule="exact"/>
        <w:rPr>
          <w:rFonts w:ascii="Arial" w:cs="Arial" w:eastAsia="Arial" w:hAnsi="Arial"/>
          <w:sz w:val="16"/>
          <w:szCs w:val="16"/>
          <w:color w:val="auto"/>
        </w:rPr>
      </w:pPr>
    </w:p>
    <w:p>
      <w:pPr>
        <w:ind w:left="66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rFonts w:ascii="Arial" w:cs="Arial" w:eastAsia="Arial" w:hAnsi="Arial"/>
          <w:sz w:val="16"/>
          <w:szCs w:val="16"/>
          <w:color w:val="auto"/>
        </w:rPr>
      </w:pPr>
    </w:p>
    <w:p>
      <w:pPr>
        <w:ind w:left="15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rFonts w:ascii="Arial" w:cs="Arial" w:eastAsia="Arial" w:hAnsi="Arial"/>
          <w:sz w:val="16"/>
          <w:szCs w:val="16"/>
          <w:color w:val="auto"/>
        </w:rPr>
      </w:pPr>
    </w:p>
    <w:p>
      <w:pPr>
        <w:jc w:val="both"/>
        <w:ind w:left="154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rFonts w:ascii="Arial" w:cs="Arial" w:eastAsia="Arial" w:hAnsi="Arial"/>
          <w:sz w:val="16"/>
          <w:szCs w:val="16"/>
          <w:color w:val="auto"/>
        </w:rPr>
      </w:pPr>
    </w:p>
    <w:p>
      <w:pPr>
        <w:jc w:val="both"/>
        <w:ind w:left="154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Financial instruments which potentially subject the Company to credit risk consist primarily of cash and cash equivalents.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50"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at the following annual rates:</w:t>
      </w:r>
    </w:p>
    <w:p>
      <w:pPr>
        <w:spacing w:after="0" w:line="180" w:lineRule="exact"/>
        <w:rPr>
          <w:sz w:val="20"/>
          <w:szCs w:val="20"/>
          <w:color w:val="auto"/>
        </w:rPr>
      </w:pPr>
    </w:p>
    <w:tbl>
      <w:tblPr>
        <w:tblLayout w:type="fixed"/>
        <w:tblInd w:w="20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w:t>
      </w:r>
    </w:p>
    <w:p>
      <w:pPr>
        <w:spacing w:after="0" w:line="124"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20" w:lineRule="exact"/>
        <w:rPr>
          <w:sz w:val="20"/>
          <w:szCs w:val="20"/>
          <w:color w:val="auto"/>
        </w:rPr>
      </w:pPr>
    </w:p>
    <w:p>
      <w:pPr>
        <w:ind w:left="620" w:hanging="612"/>
        <w:spacing w:after="0"/>
        <w:tabs>
          <w:tab w:leader="none" w:pos="6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Basic net loss per share is computed by dividing net loss, as adjusted to include the weighted average number of shares of common stock outstanding during the year. Shares of common stock and preferred stock contingently issuable for little or no cash are included in basic net loss per share on an as issued basis.</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shares of common stock outstanding during the year, plus the number of shares of common stock that would have been outstanding if all potentially dilutive shares of common stock had been issued, using the treasury stock method, in accordance with ASC 260-10 “Earnings per Share”.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2018 and December 31, 2017, since all such securities have an anti-dilutive effect.</w:t>
      </w:r>
    </w:p>
    <w:p>
      <w:pPr>
        <w:spacing w:after="0" w:line="170"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20" w:lineRule="exact"/>
        <w:rPr>
          <w:sz w:val="20"/>
          <w:szCs w:val="20"/>
          <w:color w:val="auto"/>
        </w:rPr>
      </w:pPr>
    </w:p>
    <w:p>
      <w:pPr>
        <w:ind w:left="620" w:hanging="612"/>
        <w:spacing w:after="0"/>
        <w:tabs>
          <w:tab w:leader="none" w:pos="6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7"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4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accounted for stock-based compensation awards to non-employees in accordance with the Financial Accounting Standards Board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June 2018, FASB issued Accounting Standards Update (“ASU”) 2018-07, “Compensation-Stock Compensation (Topic 718): Improvements to Nonemployee Share-Based Payment Accounting”, which simplifies the accounting for nonemployee share-based payment transactions by aligning the measurement and classification guidance, with certain exceptions, to that for share-based payment awards to employees. The amendments expand the scope of the accounting standard for share-based payment awards to include share-based payment awards granted to non-employees in exchange for goods or services used or consumed in an entity’s own operations and supersedes the guidance related to equity-based payments to non-employees. The Company elected to early adopt these amendments on June 1, 2018. The adoption of these amendments did not have a significant impact on our consolidated financial statements and related disclosures.</w:t>
      </w:r>
    </w:p>
    <w:p>
      <w:pPr>
        <w:spacing w:after="0" w:line="178"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62" w:lineRule="exact"/>
        <w:rPr>
          <w:sz w:val="20"/>
          <w:szCs w:val="20"/>
          <w:color w:val="auto"/>
        </w:rPr>
      </w:pPr>
    </w:p>
    <w:p>
      <w:pPr>
        <w:ind w:left="620" w:hanging="612"/>
        <w:spacing w:after="0"/>
        <w:tabs>
          <w:tab w:leader="none" w:pos="6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ind w:left="620" w:hanging="612"/>
        <w:spacing w:after="0"/>
        <w:tabs>
          <w:tab w:leader="none" w:pos="6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2018, and 2017, the Company had a full valuation allowance against deferred tax assets.</w:t>
      </w:r>
    </w:p>
    <w:p>
      <w:pPr>
        <w:spacing w:after="0" w:line="184"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July 2018, the FASB issued ASU No.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This ASU is effective for the Company in the first quarter of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continues to assess all of the effects of adoption, it currently believes the most significant effects from implementing this standard relate to the recognition of new right-of-use (“ROU”) assets and lease liabilities on its balance sheet for real estate operating leases and car leases. Upon adoption, the Company currently expects to recognize additional ROU assets and lease liabilities of approximately $630, based on the present value of the remaining minimum rental payments under current leasing standards for existing operating leases.</w:t>
      </w:r>
    </w:p>
    <w:p>
      <w:pPr>
        <w:spacing w:after="0" w:line="171"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7 which upon adoption of the new standard are expected to be classified as permanent equity.</w:t>
      </w:r>
    </w:p>
    <w:p>
      <w:pPr>
        <w:spacing w:after="0" w:line="1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Company does not expect that this standard will have a material effect on the Company’s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3 OTHER CURRENT ASSETS</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of December 31,</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government institutions</w:t>
            </w:r>
          </w:p>
        </w:tc>
        <w:tc>
          <w:tcPr>
            <w:tcW w:w="17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89"/>
              </w:rPr>
              <w:t>Deferred costs related to issuance of common shares (see Note 16)</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7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FIXED ASSETS, NET</w:t>
            </w: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of December 31,</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1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210</w:t>
            </w:r>
          </w:p>
        </w:tc>
        <w:tc>
          <w:tcPr>
            <w:tcW w:w="7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Arial" w:cs="Arial" w:eastAsia="Arial" w:hAnsi="Arial"/>
                <w:sz w:val="18"/>
                <w:szCs w:val="18"/>
                <w:b w:val="1"/>
                <w:bCs w:val="1"/>
                <w:color w:val="auto"/>
              </w:rPr>
              <w:t>Accumulated Depreciation:</w:t>
            </w: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Leasehold improvement</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4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3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1"/>
                <w:szCs w:val="21"/>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w w:val="97"/>
              </w:rPr>
              <w:t>F-11</w:t>
            </w: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NOTE 5 - ACCRUED LIABILITIES</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4"/>
              </w:rPr>
              <w:t>As of December 31,</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266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Amounts due to certain government institution</w:t>
            </w: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7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w:t>
            </w:r>
          </w:p>
        </w:tc>
        <w:tc>
          <w:tcPr>
            <w:tcW w:w="7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CONVERTIBLE LOAN FROM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3,255 shares of the Series A Convertible Preferred Stock, par value $0.01 per share, of the Company, in exchange for the full satisfaction, termination and cancellation of the outstanding 6% convertible promissory note of the Company in the principal amount of approximately $2,029 issued on November 28, 2016 and held by Alpha Capital. As a result of the extinguishment of the convertible note and issuance of the preferred shares, the Company recorded a financial loss in the amount of $2,360.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WARRANT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December 31, 2018 and December 31, 2017 (split-adjusted) are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as of</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Outstanding as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Exercisable as of</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2017</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3"/>
              </w:rPr>
              <w:t>December 31, 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 Price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2018</w:t>
            </w: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3,895</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ind w:left="1160" w:hanging="504"/>
        <w:spacing w:after="0" w:line="258"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December 31, 2018 and 2017 warrant data represents the number of shares adjusted to retroactively reflect the 1:15 Reverse Split effected on September 4, 2018. Refer to Note 1 for further information.</w:t>
      </w:r>
    </w:p>
    <w:p>
      <w:pPr>
        <w:spacing w:after="0" w:line="1" w:lineRule="exact"/>
        <w:rPr>
          <w:sz w:val="20"/>
          <w:szCs w:val="20"/>
          <w:color w:val="auto"/>
        </w:rPr>
      </w:pPr>
    </w:p>
    <w:p>
      <w:pPr>
        <w:jc w:val="both"/>
        <w:ind w:left="1160" w:hanging="504"/>
        <w:spacing w:after="0" w:line="270" w:lineRule="auto"/>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the Company’s warrant liability at December 31, 2018 and December 31, 2017, was approximately $8 and $28,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2017, an institutional holder executed a cashless exercise of 51 warrants and 24 shares of common stock were issued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the valuation of the derivative warrant liabilities as of December 31, 2018 and December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5"/>
              </w:rPr>
              <w:t>Series A</w:t>
            </w:r>
          </w:p>
        </w:tc>
        <w:tc>
          <w:tcPr>
            <w:tcW w:w="16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Series A</w:t>
            </w:r>
          </w:p>
        </w:tc>
        <w:tc>
          <w:tcPr>
            <w:tcW w:w="18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5"/>
              </w:rPr>
              <w:t>Series A</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Series A</w:t>
            </w: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Series A</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1"/>
              </w:rPr>
              <w:t>Series B</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(2011)</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(2016)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(2016)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Exercised</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7068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December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(split-adjusted):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6"/>
          </w:tcPr>
          <w:p>
            <w:pPr>
              <w:ind w:left="400"/>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38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Series A (2016)</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Series B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9"/>
              </w:rPr>
              <w:t>Series A (2016)</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Series B (2016)</w:t>
            </w:r>
          </w:p>
        </w:tc>
        <w:tc>
          <w:tcPr>
            <w:tcW w:w="160" w:type="dxa"/>
            <w:vAlign w:val="bottom"/>
          </w:tcPr>
          <w:p>
            <w:pPr>
              <w:spacing w:after="0"/>
              <w:rPr>
                <w:sz w:val="20"/>
                <w:szCs w:val="20"/>
                <w:color w:val="auto"/>
              </w:rPr>
            </w:pPr>
          </w:p>
        </w:tc>
      </w:tr>
      <w:tr>
        <w:trPr>
          <w:trHeight w:val="216"/>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 price</w:t>
            </w:r>
          </w:p>
        </w:tc>
        <w:tc>
          <w:tcPr>
            <w:tcW w:w="12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Risk-free interest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Expected life of up to (years)</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r>
      <w:tr>
        <w:trPr>
          <w:trHeight w:val="418"/>
        </w:trPr>
        <w:tc>
          <w:tcPr>
            <w:tcW w:w="5320" w:type="dxa"/>
            <w:vAlign w:val="bottom"/>
            <w:gridSpan w:val="4"/>
          </w:tcPr>
          <w:p>
            <w:pPr>
              <w:spacing w:after="0"/>
              <w:rPr>
                <w:sz w:val="20"/>
                <w:szCs w:val="20"/>
                <w:color w:val="auto"/>
              </w:rPr>
            </w:pPr>
            <w:r>
              <w:rPr>
                <w:rFonts w:ascii="Arial" w:cs="Arial" w:eastAsia="Arial" w:hAnsi="Arial"/>
                <w:sz w:val="18"/>
                <w:szCs w:val="18"/>
                <w:color w:val="auto"/>
                <w:w w:val="96"/>
              </w:rPr>
              <w:t>Activity in such liabilities measured on a recurring basis is as follows: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6"/>
              </w:rPr>
              <w:t>Warrant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Revaluation of warrants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3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434784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Revaluation of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434784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17068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323"/>
        <w:spacing w:after="0"/>
        <w:rPr>
          <w:sz w:val="20"/>
          <w:szCs w:val="20"/>
          <w:color w:val="auto"/>
        </w:rPr>
      </w:pPr>
      <w:r>
        <w:rPr>
          <w:rFonts w:ascii="Arial" w:cs="Arial" w:eastAsia="Arial" w:hAnsi="Arial"/>
          <w:sz w:val="18"/>
          <w:szCs w:val="18"/>
          <w:b w:val="1"/>
          <w:bCs w:val="1"/>
          <w:color w:val="auto"/>
        </w:rPr>
        <w:t>Derivative</w:t>
      </w:r>
    </w:p>
    <w:p>
      <w:pPr>
        <w:spacing w:after="0" w:line="27" w:lineRule="exact"/>
        <w:rPr>
          <w:sz w:val="20"/>
          <w:szCs w:val="20"/>
          <w:color w:val="auto"/>
        </w:rPr>
      </w:pPr>
    </w:p>
    <w:p>
      <w:pPr>
        <w:ind w:left="403"/>
        <w:spacing w:after="0"/>
        <w:rPr>
          <w:sz w:val="20"/>
          <w:szCs w:val="20"/>
          <w:color w:val="auto"/>
        </w:rPr>
      </w:pPr>
      <w:r>
        <w:rPr>
          <w:rFonts w:ascii="Arial" w:cs="Arial" w:eastAsia="Arial" w:hAnsi="Arial"/>
          <w:sz w:val="18"/>
          <w:szCs w:val="18"/>
          <w:b w:val="1"/>
          <w:bCs w:val="1"/>
          <w:color w:val="auto"/>
        </w:rPr>
        <w:t>Warrant</w:t>
      </w:r>
    </w:p>
    <w:p>
      <w:pPr>
        <w:spacing w:after="0" w:line="9" w:lineRule="exact"/>
        <w:rPr>
          <w:sz w:val="20"/>
          <w:szCs w:val="20"/>
          <w:color w:val="auto"/>
        </w:rPr>
      </w:pPr>
    </w:p>
    <w:p>
      <w:pPr>
        <w:ind w:left="343"/>
        <w:spacing w:after="0"/>
        <w:rPr>
          <w:sz w:val="20"/>
          <w:szCs w:val="20"/>
          <w:color w:val="auto"/>
        </w:rPr>
      </w:pPr>
      <w:r>
        <w:rPr>
          <w:rFonts w:ascii="Arial" w:cs="Arial" w:eastAsia="Arial" w:hAnsi="Arial"/>
          <w:sz w:val="18"/>
          <w:szCs w:val="18"/>
          <w:b w:val="1"/>
          <w:bCs w:val="1"/>
          <w:color w:val="auto"/>
        </w:rPr>
        <w:t>Liabilities</w:t>
      </w:r>
    </w:p>
    <w:p>
      <w:pPr>
        <w:spacing w:after="0" w:line="22" w:lineRule="exact"/>
        <w:rPr>
          <w:sz w:val="20"/>
          <w:szCs w:val="20"/>
          <w:color w:val="auto"/>
        </w:rPr>
      </w:pPr>
    </w:p>
    <w:p>
      <w:pPr>
        <w:ind w:left="1183" w:hanging="1183"/>
        <w:spacing w:after="0"/>
        <w:tabs>
          <w:tab w:leader="none" w:pos="11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313</w:t>
      </w:r>
    </w:p>
    <w:p>
      <w:pPr>
        <w:spacing w:after="0" w:line="23" w:lineRule="exact"/>
        <w:rPr>
          <w:rFonts w:ascii="Arial" w:cs="Arial" w:eastAsia="Arial" w:hAnsi="Arial"/>
          <w:sz w:val="18"/>
          <w:szCs w:val="18"/>
          <w:color w:val="auto"/>
        </w:rPr>
      </w:pPr>
    </w:p>
    <w:p>
      <w:pPr>
        <w:ind w:left="1123"/>
        <w:spacing w:after="0"/>
        <w:rPr>
          <w:rFonts w:ascii="Arial" w:cs="Arial" w:eastAsia="Arial" w:hAnsi="Arial"/>
          <w:sz w:val="18"/>
          <w:szCs w:val="18"/>
          <w:color w:val="auto"/>
        </w:rPr>
      </w:pPr>
      <w:r>
        <w:rPr>
          <w:rFonts w:ascii="Arial" w:cs="Arial" w:eastAsia="Arial" w:hAnsi="Arial"/>
          <w:sz w:val="17"/>
          <w:szCs w:val="17"/>
          <w:color w:val="auto"/>
        </w:rPr>
        <w:t>(285)</w:t>
      </w:r>
    </w:p>
    <w:p>
      <w:pPr>
        <w:spacing w:after="0" w:line="20" w:lineRule="exact"/>
        <w:rPr>
          <w:rFonts w:ascii="Arial" w:cs="Arial" w:eastAsia="Arial" w:hAnsi="Arial"/>
          <w:sz w:val="18"/>
          <w:szCs w:val="18"/>
          <w:color w:val="auto"/>
        </w:rPr>
      </w:pPr>
    </w:p>
    <w:p>
      <w:pPr>
        <w:ind w:left="124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sz w:val="20"/>
          <w:szCs w:val="20"/>
          <w:color w:val="auto"/>
        </w:rPr>
      </w:pPr>
    </w:p>
    <w:p>
      <w:pPr>
        <w:ind w:left="1283" w:hanging="1283"/>
        <w:spacing w:after="0"/>
        <w:tabs>
          <w:tab w:leader="none" w:pos="12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264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264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ectPr>
          <w:pgSz w:w="11900" w:h="16838" w:orient="portrait"/>
          <w:cols w:equalWidth="0" w:num="2">
            <w:col w:w="5240" w:space="77"/>
            <w:col w:w="5443"/>
          </w:cols>
          <w:pgMar w:left="900" w:top="661"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2018 in the total amount of approximately $1,310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January 2018, the Company entered into an office lease agreement in the U.S., with a term ending on December 31, 2021. According to the lease agreement, the monthly office lease payment is approximately $4.</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May 2017, the Company entered into an office lease agreement in Israel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222222"/>
        </w:rPr>
        <w:t xml:space="preserve">The study in Washington U. includes several phases. The first phase (initial research) was completed. An agreement on the second phase was entered into in September 2018 with total expected costs of approximately $248.1. </w:t>
      </w:r>
      <w:r>
        <w:rPr>
          <w:rFonts w:ascii="Arial" w:cs="Arial" w:eastAsia="Arial" w:hAnsi="Arial"/>
          <w:sz w:val="17"/>
          <w:szCs w:val="17"/>
          <w:color w:val="000000"/>
        </w:rPr>
        <w:t>Pursuant to the Research Agreement, all rights, title and interest in the</w:t>
      </w:r>
      <w:r>
        <w:rPr>
          <w:rFonts w:ascii="Arial" w:cs="Arial" w:eastAsia="Arial" w:hAnsi="Arial"/>
          <w:sz w:val="17"/>
          <w:szCs w:val="17"/>
          <w:color w:val="222222"/>
        </w:rPr>
        <w:t xml:space="preserve"> </w:t>
      </w:r>
      <w:r>
        <w:rPr>
          <w:rFonts w:ascii="Arial" w:cs="Arial" w:eastAsia="Arial" w:hAnsi="Arial"/>
          <w:sz w:val="17"/>
          <w:szCs w:val="17"/>
          <w:color w:val="000000"/>
        </w:rPr>
        <w:t>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22222"/>
        </w:rPr>
        <w:t xml:space="preserve">The study in WSU includes several phases. The first phase (initial research) was completed. An agreement on the second phase was entered into in April 2018 with total expected costs of approximately $130. </w:t>
      </w:r>
      <w:r>
        <w:rPr>
          <w:rFonts w:ascii="Arial" w:cs="Arial" w:eastAsia="Arial" w:hAnsi="Arial"/>
          <w:sz w:val="16"/>
          <w:szCs w:val="16"/>
          <w:color w:val="000000"/>
        </w:rPr>
        <w:t>Pursuant to the WSU Agreement, WSU shall own all data generated by the research and</w:t>
      </w:r>
      <w:r>
        <w:rPr>
          <w:rFonts w:ascii="Arial" w:cs="Arial" w:eastAsia="Arial" w:hAnsi="Arial"/>
          <w:sz w:val="16"/>
          <w:szCs w:val="16"/>
          <w:color w:val="222222"/>
        </w:rPr>
        <w:t xml:space="preserve"> </w:t>
      </w:r>
      <w:r>
        <w:rPr>
          <w:rFonts w:ascii="Arial" w:cs="Arial" w:eastAsia="Arial" w:hAnsi="Arial"/>
          <w:sz w:val="16"/>
          <w:szCs w:val="16"/>
          <w:color w:val="000000"/>
        </w:rPr>
        <w:t>the Company shall have unrestricted free right to use and disclose all the results, information and material generated from the WSU Agreement.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named as the defendant in a lawsuit, captioned Sabby Healthcare Master Fund Ltd. and Sabby Volatility Warrant Master Fund Ltd., Plaintiffs, against Microbot Medical Inc., Defendant, in the Supreme Court of the State of New York, County of New York (the “Matter”). The complaint alleged, among other things, that the Company breached multiple representations and warranties contained in the Securities Purchase Agreement (the “SPA”) related to the June 8, 2017 equity financing of the Company (the “Financing”), of which the Plaintiffs participated. The complaint originally sought rescission of the SPA and return of the Plaintiffs’ $3,375 purchase price with respect to the Financing, and damages in an amount to be determined at trial, but alleged to exceed $1,000.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28, 2019, the Court issued its Decision and Order After Trial, finding for the Plaintiffs and ordering that the SPA be rescinded and that the parties be restored to the status quo ante.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rescission would require the Plaintiffs to transfer back to the Company the shares they purchased pursuant to the SPA, and the Company to return to the Plaintiffs their purchase price of $3,375. As such, the Company recorded a short-term liability of $3,375 with an offset to shareholders’ equity as of December 31, 2018 with respect to the court’s decision. On March 27, 2019, the Company filed a Notice of Appeal and an Undertaking to stay execution of the judgment pending appeal. If the Company loses on appeal, it also has to pay interest on the judgment from the judgment date at a 9% per annum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provision has been recorded with respect to the Tolling Agreement since no settlement was reached with respect to the Matter.</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of $74.</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 CAPITAL</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was convertible, at the option of the holder, into 67 shares of common stock (1,000 shares of common stock before the Reverse Split), and conferred upon the holder dividend rights on an as converted basis. On December 12, 2018, the Company filed a Certificate of Elimination with respect to its Series A Convertible Preferred Stock and as of December 31, 2018, the Company did not have any Series A Convertible Preferred Stock issued or outstanding.</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8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During the year ended December 31, 2018, the holder of the Series A Convertible Preferred Stock converted 4,001 shares of the Series A Convertible Preferred Stock for 268,818 shares (4,001,000 shares before the Reverse Split) of common stock, pursuant to the terms of conversion of the Series A Convertible Preferred Stock. As of December 31, 2018, all of the shares of Series A Convertible Preferred Stock were fully converted.</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See Note 8 – “Commitment s and Contingencies-Agreement with CardioSert Ltd.,” with respect to the issuance of 6,738 shares of the Company’s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52 warrants (768 before the split) and 24 shares (359 shares before the split)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December 31, 2018, the Company had 3,012,343 shares of common stock issued and outstanding and no shares of Preferred Stock issued or outstanding.</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$74.00 per share ($5.00 per share before the Reverse Split) or gross proceeds of $3,500. The Company paid the placement agent a fee of $210 plus reimbursement of out-of-pocket expenses, as well as other offering-related expenses.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252,652 shares (3,750,000 shares before the Reverse Split) of common stock, at a purchase price per share of $40.50 ($2.70 before the Reverse Split). The gross proceeds to the Company was $10,125 before deducting placement agent fees and offering expenses of $922. See Note 8 – “Commitments and Contingencies-Litigation” with respect to certain rescission rights awarded to two affiliated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$12.00 ($0.80 before the Reverse Split) ($4.20 as retroactively adjusted to reflect the Merger). The stock options were fully vested at the date of grant.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$581 and $156 included in general and administrative expenses for the year ended December 31, 2018 and 2017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$431 and $92 included in research and developing expenses for the year ended December 31, 2018 and 2017 respectively.</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$67 and $5 included in general and administrative expenses for the year ended December 31, 2018 and 2017 respectively.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in the amount of $307 and $0 included in general and administrative expenses and research and development expenses for the year ended December 31, 2018 and 2017 respectively.</w:t>
      </w:r>
    </w:p>
    <w:p>
      <w:pPr>
        <w:spacing w:after="0" w:line="1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70" w:name="page71"/>
    <w:bookmarkEnd w:id="70"/>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before the Reverse Split) of common stock at an exercise price of $0.001 per share.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$11 and $0 included in research and development expenses for the year ended December 31, 2018 and 2017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8"/>
          </w:tcPr>
          <w:p>
            <w:pPr>
              <w:ind w:left="1120"/>
              <w:spacing w:after="0"/>
              <w:rPr>
                <w:sz w:val="20"/>
                <w:szCs w:val="20"/>
                <w:color w:val="auto"/>
              </w:rPr>
            </w:pPr>
            <w:r>
              <w:rPr>
                <w:rFonts w:ascii="Arial" w:cs="Arial" w:eastAsia="Arial" w:hAnsi="Arial"/>
                <w:sz w:val="18"/>
                <w:szCs w:val="18"/>
                <w:b w:val="1"/>
                <w:bCs w:val="1"/>
                <w:color w:val="auto"/>
                <w:w w:val="92"/>
              </w:rPr>
              <w:t>For the year ended December 31, 2018</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1"/>
              </w:rPr>
              <w:t>Number of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Pr>
          <w:p>
            <w:pPr>
              <w:spacing w:after="0"/>
              <w:rPr>
                <w:sz w:val="17"/>
                <w:szCs w:val="17"/>
                <w:color w:val="auto"/>
              </w:rPr>
            </w:pPr>
          </w:p>
        </w:tc>
        <w:tc>
          <w:tcPr>
            <w:tcW w:w="15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1"/>
              </w:rPr>
              <w:t>Aggregate Intrinsic</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Exercise Price</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(24,170)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Vested at end of period</w:t>
            </w: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245,010</w:t>
            </w:r>
          </w:p>
        </w:tc>
        <w:tc>
          <w:tcPr>
            <w:tcW w:w="1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8"/>
          </w:tcPr>
          <w:p>
            <w:pPr>
              <w:ind w:left="1000"/>
              <w:spacing w:after="0"/>
              <w:rPr>
                <w:sz w:val="20"/>
                <w:szCs w:val="20"/>
                <w:color w:val="auto"/>
              </w:rPr>
            </w:pPr>
            <w:r>
              <w:rPr>
                <w:rFonts w:ascii="Arial" w:cs="Arial" w:eastAsia="Arial" w:hAnsi="Arial"/>
                <w:sz w:val="18"/>
                <w:szCs w:val="18"/>
                <w:b w:val="1"/>
                <w:bCs w:val="1"/>
                <w:color w:val="auto"/>
                <w:w w:val="92"/>
              </w:rPr>
              <w:t>For the year ended December 31, 2017(*)</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1"/>
              </w:rPr>
              <w:t>Number of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Pr>
          <w:p>
            <w:pPr>
              <w:spacing w:after="0"/>
              <w:rPr>
                <w:sz w:val="17"/>
                <w:szCs w:val="17"/>
                <w:color w:val="auto"/>
              </w:rPr>
            </w:pPr>
          </w:p>
        </w:tc>
        <w:tc>
          <w:tcPr>
            <w:tcW w:w="15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1"/>
              </w:rPr>
              <w:t>Aggregate Intrinsic</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Exercise Price</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272,090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Vested at end of period</w:t>
            </w: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142,875</w:t>
            </w:r>
          </w:p>
        </w:tc>
        <w:tc>
          <w:tcPr>
            <w:tcW w:w="1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7068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ind w:right="20" w:firstLine="58"/>
        <w:spacing w:after="0" w:line="277" w:lineRule="auto"/>
        <w:tabs>
          <w:tab w:leader="none" w:pos="3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December 31, 2018 and 2017 option data represents the number of shares adjusted to retroactively reflect the 1:15 Reverse Split effected on September 4, 2018. Refer to Note 1 for further information.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2018 and December 31, 2017 respectively.</w:t>
      </w:r>
    </w:p>
    <w:p>
      <w:pPr>
        <w:spacing w:after="0" w:line="14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71" w:name="page72"/>
    <w:bookmarkEnd w:id="71"/>
    <w:p>
      <w:pPr>
        <w:jc w:val="center"/>
        <w:ind w:right="656"/>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stock options outstanding as of December 31,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 options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 –</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 –</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Stock 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r>
      <w:tr>
        <w:trPr>
          <w:trHeight w:val="216"/>
        </w:trPr>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as of</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outstanding as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years as of</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years as of</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exercisable as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exercisable as</w:t>
            </w:r>
          </w:p>
        </w:tc>
      </w:tr>
      <w:tr>
        <w:trPr>
          <w:trHeight w:val="216"/>
        </w:trPr>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price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 December 31,</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December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w:t>
            </w:r>
          </w:p>
        </w:tc>
      </w:tr>
      <w:tr>
        <w:trPr>
          <w:trHeight w:val="24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31, 2018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 2017(**)</w:t>
            </w:r>
          </w:p>
        </w:tc>
        <w:tc>
          <w:tcPr>
            <w:tcW w:w="10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77,846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77,846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r>
      <w:tr>
        <w:trPr>
          <w:trHeight w:val="216"/>
        </w:trPr>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133,546</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133,546</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53,752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19.35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72,508</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72,508</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29,003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41,866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66,036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62,542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65,029</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62,542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65,029</w:t>
            </w:r>
          </w:p>
        </w:tc>
      </w:tr>
      <w:tr>
        <w:trPr>
          <w:trHeight w:val="230"/>
        </w:trPr>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7068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ind w:left="4" w:hanging="4"/>
        <w:spacing w:after="0" w:line="261" w:lineRule="auto"/>
        <w:tabs>
          <w:tab w:leader="none" w:pos="3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December 31, 2018 and 2017 options data represents the number of shares adjusted to retroactively reflect the 1:15 Reverse Split effected on September 4, 2018. Refer to Note 1 for further information.</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year ended December 31, 2018 and 2017 was $ 1,399 and $254,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10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 December</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31, 2018</w:t>
            </w:r>
          </w:p>
        </w:tc>
        <w:tc>
          <w:tcPr>
            <w:tcW w:w="320" w:type="dxa"/>
            <w:vAlign w:val="bottom"/>
          </w:tcPr>
          <w:p>
            <w:pPr>
              <w:spacing w:after="0"/>
              <w:rPr>
                <w:sz w:val="20"/>
                <w:szCs w:val="20"/>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Risk-free interest</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5.24</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The Company had intended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would have been subject to negotiating final terms and entering into definitive agreements with such shareholders.</w:t>
      </w:r>
    </w:p>
    <w:p>
      <w:pPr>
        <w:spacing w:after="0" w:line="19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December 31, 2018, the Company determined that no obligation remained to enter into any such definitive agreement as the two-year anniversary of the Merger was in November 2018 and therefore there was no liability for the Company to repurchase any shares from the three Israeli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shares of common stock used in the calculation of basic and diluted net loss per share are as follows (in thousands, except share and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2,904,253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ind w:left="740" w:hanging="3"/>
        <w:spacing w:after="0" w:line="277" w:lineRule="auto"/>
        <w:tabs>
          <w:tab w:leader="none" w:pos="10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December 31, 2018 and 2017 shares data represents the number of shares adjusted to retroactively reflect the 1:15 Reverse Split effected on September 4, 2018. Refer to Note 1 for further information.</w:t>
      </w:r>
    </w:p>
    <w:p>
      <w:pPr>
        <w:spacing w:after="0" w:line="170" w:lineRule="exact"/>
        <w:rPr>
          <w:sz w:val="20"/>
          <w:szCs w:val="20"/>
          <w:color w:val="auto"/>
        </w:rPr>
      </w:pPr>
    </w:p>
    <w:p>
      <w:pPr>
        <w:ind w:left="740" w:right="20"/>
        <w:spacing w:after="0" w:line="277" w:lineRule="auto"/>
        <w:rPr>
          <w:sz w:val="20"/>
          <w:szCs w:val="20"/>
          <w:color w:val="auto"/>
        </w:rPr>
      </w:pPr>
      <w:r>
        <w:rPr>
          <w:rFonts w:ascii="Arial" w:cs="Arial" w:eastAsia="Arial" w:hAnsi="Arial"/>
          <w:sz w:val="18"/>
          <w:szCs w:val="18"/>
          <w:color w:val="auto"/>
        </w:rPr>
        <w:t>As the inclusion of common stock equivalents in the calculation would be anti-dilutive for all periods presented, diluted net loss per share is the same as basic net loss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4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w:t>
            </w: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Patents</w:t>
            </w: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Rent</w:t>
            </w: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Depreciation</w:t>
            </w: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Grants received from IIA &amp; EC</w:t>
            </w: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34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2,515</w:t>
            </w:r>
          </w:p>
        </w:tc>
        <w:tc>
          <w:tcPr>
            <w:tcW w:w="12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jc w:val="right"/>
              <w:ind w:right="2790"/>
              <w:spacing w:after="0"/>
              <w:rPr>
                <w:sz w:val="20"/>
                <w:szCs w:val="20"/>
                <w:color w:val="auto"/>
              </w:rPr>
            </w:pPr>
            <w:r>
              <w:rPr>
                <w:rFonts w:ascii="Arial" w:cs="Arial" w:eastAsia="Arial" w:hAnsi="Arial"/>
                <w:sz w:val="18"/>
                <w:szCs w:val="18"/>
                <w:color w:val="auto"/>
              </w:rPr>
              <w:t>F-20</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20" w:type="dxa"/>
            <w:vAlign w:val="bottom"/>
            <w:tcBorders>
              <w:bottom w:val="single" w:sz="8" w:color="auto"/>
            </w:tcBorders>
            <w:gridSpan w:val="5"/>
          </w:tcPr>
          <w:p>
            <w:pPr>
              <w:jc w:val="center"/>
              <w:ind w:left="390"/>
              <w:spacing w:after="0"/>
              <w:rPr>
                <w:sz w:val="20"/>
                <w:szCs w:val="20"/>
                <w:color w:val="auto"/>
              </w:rPr>
            </w:pPr>
            <w:r>
              <w:rPr>
                <w:rFonts w:ascii="Arial" w:cs="Arial" w:eastAsia="Arial" w:hAnsi="Arial"/>
                <w:sz w:val="18"/>
                <w:szCs w:val="18"/>
                <w:b w:val="1"/>
                <w:bCs w:val="1"/>
                <w:color w:val="auto"/>
                <w:w w:val="88"/>
              </w:rPr>
              <w:t>Years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1,136</w:t>
            </w:r>
          </w:p>
        </w:tc>
        <w:tc>
          <w:tcPr>
            <w:tcW w:w="110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1,133</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Travel</w:t>
            </w:r>
          </w:p>
        </w:tc>
        <w:tc>
          <w:tcPr>
            <w:tcW w:w="1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Office and maintenance expenses</w:t>
            </w:r>
          </w:p>
        </w:tc>
        <w:tc>
          <w:tcPr>
            <w:tcW w:w="1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Public and investor relations</w:t>
            </w:r>
          </w:p>
        </w:tc>
        <w:tc>
          <w:tcPr>
            <w:tcW w:w="1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Government fees</w:t>
            </w:r>
          </w:p>
        </w:tc>
        <w:tc>
          <w:tcPr>
            <w:tcW w:w="1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FINANCE EXPENSES, NET</w:t>
            </w: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2"/>
            <w:vMerge w:val="continue"/>
          </w:tcPr>
          <w:p>
            <w:pPr>
              <w:spacing w:after="0"/>
              <w:rPr>
                <w:sz w:val="24"/>
                <w:szCs w:val="24"/>
                <w:color w:val="auto"/>
              </w:rPr>
            </w:pPr>
          </w:p>
        </w:tc>
        <w:tc>
          <w:tcPr>
            <w:tcW w:w="3020" w:type="dxa"/>
            <w:vAlign w:val="bottom"/>
            <w:gridSpan w:val="5"/>
            <w:vMerge w:val="restart"/>
          </w:tcPr>
          <w:p>
            <w:pPr>
              <w:jc w:val="center"/>
              <w:ind w:left="390"/>
              <w:spacing w:after="0"/>
              <w:rPr>
                <w:sz w:val="20"/>
                <w:szCs w:val="20"/>
                <w:color w:val="auto"/>
              </w:rPr>
            </w:pPr>
            <w:r>
              <w:rPr>
                <w:rFonts w:ascii="Arial" w:cs="Arial" w:eastAsia="Arial" w:hAnsi="Arial"/>
                <w:sz w:val="18"/>
                <w:szCs w:val="18"/>
                <w:b w:val="1"/>
                <w:bCs w:val="1"/>
                <w:color w:val="auto"/>
                <w:w w:val="88"/>
              </w:rPr>
              <w:t>Years ended December 31,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020" w:type="dxa"/>
            <w:vAlign w:val="bottom"/>
            <w:tcBorders>
              <w:bottom w:val="single" w:sz="8" w:color="auto"/>
            </w:tcBorders>
            <w:gridSpan w:val="5"/>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right="565"/>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Bank fees and interest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Change in fair value of derivative warrant liability</w:t>
            </w: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Financing loss on debt extinguishment</w:t>
            </w: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Revaluation and interest on convertible loans</w:t>
            </w:r>
          </w:p>
        </w:tc>
        <w:tc>
          <w:tcPr>
            <w:tcW w:w="1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NOTE 14 TRANSACTIONS AND BALANCES WITH RELATED PARTIES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2"/>
          </w:tcPr>
          <w:p>
            <w:pPr>
              <w:ind w:left="340"/>
              <w:spacing w:after="0"/>
              <w:rPr>
                <w:sz w:val="20"/>
                <w:szCs w:val="20"/>
                <w:color w:val="auto"/>
              </w:rPr>
            </w:pPr>
            <w:r>
              <w:rPr>
                <w:rFonts w:ascii="Arial" w:cs="Arial" w:eastAsia="Arial" w:hAnsi="Arial"/>
                <w:sz w:val="18"/>
                <w:szCs w:val="18"/>
                <w:b w:val="1"/>
                <w:bCs w:val="1"/>
                <w:color w:val="auto"/>
              </w:rPr>
              <w:t>A. Transactions: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Directors fees and insurance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Subcontracted work and consulting</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1,381</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60" w:type="dxa"/>
            <w:vAlign w:val="bottom"/>
            <w:vMerge w:val="restart"/>
          </w:tcPr>
          <w:p>
            <w:pPr>
              <w:ind w:left="3260"/>
              <w:spacing w:after="0"/>
              <w:rPr>
                <w:sz w:val="20"/>
                <w:szCs w:val="20"/>
                <w:color w:val="auto"/>
              </w:rPr>
            </w:pPr>
            <w:r>
              <w:rPr>
                <w:rFonts w:ascii="Arial" w:cs="Arial" w:eastAsia="Arial" w:hAnsi="Arial"/>
                <w:sz w:val="18"/>
                <w:szCs w:val="18"/>
                <w:color w:val="auto"/>
              </w:rPr>
              <w:t>F-21</w:t>
            </w: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3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4" w:name="page75"/>
    <w:bookmarkEnd w:id="7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80" w:type="dxa"/>
            <w:vAlign w:val="bottom"/>
            <w:gridSpan w:val="9"/>
          </w:tcPr>
          <w:p>
            <w:pPr>
              <w:jc w:val="center"/>
              <w:ind w:right="580"/>
              <w:spacing w:after="0" w:line="196" w:lineRule="exact"/>
              <w:rPr>
                <w:sz w:val="20"/>
                <w:szCs w:val="20"/>
                <w:color w:val="auto"/>
              </w:rPr>
            </w:pPr>
            <w:r>
              <w:rPr>
                <w:rFonts w:ascii="Arial" w:cs="Arial" w:eastAsia="Arial" w:hAnsi="Arial"/>
                <w:sz w:val="18"/>
                <w:szCs w:val="18"/>
                <w:b w:val="1"/>
                <w:bCs w:val="1"/>
                <w:color w:val="auto"/>
                <w:w w:val="87"/>
              </w:rPr>
              <w:t>Notes to the consolidated financial statements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U.S. dollars in thousands</w:t>
            </w:r>
          </w:p>
        </w:tc>
        <w:tc>
          <w:tcPr>
            <w:tcW w:w="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9"/>
              </w:rPr>
              <w:t>(Except share and per share data)</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B. Balances:</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4"/>
          </w:tcPr>
          <w:p>
            <w:pPr>
              <w:jc w:val="right"/>
              <w:ind w:right="85"/>
              <w:spacing w:after="0"/>
              <w:rPr>
                <w:sz w:val="20"/>
                <w:szCs w:val="20"/>
                <w:color w:val="auto"/>
              </w:rPr>
            </w:pPr>
            <w:r>
              <w:rPr>
                <w:rFonts w:ascii="Arial" w:cs="Arial" w:eastAsia="Arial" w:hAnsi="Arial"/>
                <w:sz w:val="18"/>
                <w:szCs w:val="18"/>
                <w:b w:val="1"/>
                <w:bCs w:val="1"/>
                <w:color w:val="auto"/>
              </w:rPr>
              <w:t>As of</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7"/>
          </w:tcPr>
          <w:p>
            <w:pPr>
              <w:ind w:lef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vMerge w:val="continue"/>
          </w:tcPr>
          <w:p>
            <w:pPr>
              <w:spacing w:after="0"/>
              <w:rPr>
                <w:sz w:val="21"/>
                <w:szCs w:val="21"/>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Other accounts payable</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222</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TAXES ON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Israeli subsidiary is subject to Israeli corporate tax rate of 25% in the year 2016, 24% in 2017 and 23% from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was subject to a blended U.S. tax rate (Federal as well as state corporate tax) of 35% for the year ended December 31, 2018.</w:t>
      </w:r>
    </w:p>
    <w:p>
      <w:pPr>
        <w:spacing w:after="0" w:line="23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 The provisions of the Tax Act did not have a material impact on the Company.</w:t>
      </w:r>
    </w:p>
    <w:p>
      <w:pPr>
        <w:spacing w:after="0" w:line="188" w:lineRule="exact"/>
        <w:rPr>
          <w:sz w:val="20"/>
          <w:szCs w:val="20"/>
          <w:color w:val="auto"/>
        </w:rPr>
      </w:pPr>
    </w:p>
    <w:p>
      <w:pPr>
        <w:ind w:left="660" w:hanging="328"/>
        <w:spacing w:after="0" w:line="277" w:lineRule="auto"/>
        <w:tabs>
          <w:tab w:leader="none" w:pos="691"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For the year ended December 31, 2018, the Company generated net operating losses in Israel of approximately $3,966 which may be carried forward and offset against taxable income in the future for an indefinite period.</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year ended December 31, 2018, the Company generated net operating losses in the U.S. of approximately $3,274.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660" w:hanging="328"/>
        <w:spacing w:after="0" w:line="264" w:lineRule="auto"/>
        <w:tabs>
          <w:tab w:leader="none" w:pos="694"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6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6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r>
      <w:tr>
        <w:trPr>
          <w:trHeight w:val="216"/>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495,844</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488,603</w:t>
            </w:r>
          </w:p>
        </w:tc>
      </w:tr>
      <w:tr>
        <w:trPr>
          <w:trHeight w:val="216"/>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114,044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112,380</w:t>
            </w: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(114,044)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(112,380)</w:t>
            </w:r>
          </w:p>
        </w:tc>
      </w:tr>
      <w:tr>
        <w:trPr>
          <w:trHeight w:val="230"/>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has not determined whether any or all of the above net loss carryforwards will be allowed for future tax deductions, even if the Company generates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6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60" w:type="dxa"/>
            <w:vAlign w:val="bottom"/>
            <w:shd w:val="clear" w:color="auto" w:fill="CCEEFF"/>
          </w:tcPr>
          <w:p>
            <w:pPr>
              <w:spacing w:after="0"/>
              <w:rPr>
                <w:sz w:val="18"/>
                <w:szCs w:val="18"/>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Statutory tax rate</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(1,821)</w:t>
            </w:r>
          </w:p>
        </w:tc>
      </w:tr>
      <w:tr>
        <w:trPr>
          <w:trHeight w:val="230"/>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 million. The closing of the offering took place on January 15, 2019. The pre-funded warrants were exercised in full in January 2019.</w:t>
      </w:r>
    </w:p>
    <w:p>
      <w:pPr>
        <w:spacing w:after="0" w:line="18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 million. The closing of the offering took place on January 17, 2019.</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21, 2019, the Company granted options to purchase 2,326 shares of the Company’s common stock to each of the non-employee directors of the Company.</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gross proceeds to the Company were approximately $2.47 million. The closing of the offering took place on January 25, 2019.</w:t>
      </w:r>
    </w:p>
    <w:p>
      <w:pPr>
        <w:spacing w:after="0" w:line="1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Effective as of February 1, 2019, Yehezkel (Hezi)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As a result of Mr. Himelfarb providing certain post-resignation transition services to the Company and the terms of his employment agreement, Mr. Himelfarb will continue to be paid his full salary and certain benefits for six months after resignation.</w:t>
      </w:r>
    </w:p>
    <w:p>
      <w:pPr>
        <w:spacing w:after="0" w:line="188"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On March 1, 2019, the Company announced the decision of the New York State Supreme Court to rescind the SPA the Company entered into with two affiliated investors, in connection with its June 2017 Registered Direct Offering. See Note 8 – “Commitments and Contingencies-Litigation”.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April 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April 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2018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2018 as filed with the Securities and Exchange Commission on the date hereof (the “Report”), I, </w:t>
      </w:r>
      <w:r>
        <w:rPr>
          <w:rFonts w:ascii="Arial" w:cs="Arial" w:eastAsia="Arial" w:hAnsi="Arial"/>
          <w:sz w:val="18"/>
          <w:szCs w:val="18"/>
          <w:b w:val="1"/>
          <w:bCs w:val="1"/>
          <w:color w:val="auto"/>
        </w:rPr>
        <w:t>David Ben Naim</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6"/>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upperLetter"/>
      <w:start w:val="1"/>
    </w:lvl>
  </w:abstractNum>
  <w:abstractNum w:abstractNumId="32">
    <w:nsid w:val="7A6D8D3C"/>
    <w:multiLevelType w:val="hybridMultilevel"/>
    <w:lvl w:ilvl="0">
      <w:lvlJc w:val="left"/>
      <w:lvlText w:val="%1."/>
      <w:numFmt w:val="upperLetter"/>
      <w:start w:val="4"/>
    </w:lvl>
  </w:abstractNum>
  <w:abstractNum w:abstractNumId="33">
    <w:nsid w:val="4B588F54"/>
    <w:multiLevelType w:val="hybridMultilevel"/>
    <w:lvl w:ilvl="0">
      <w:lvlJc w:val="left"/>
      <w:lvlText w:val="%1."/>
      <w:numFmt w:val="upperLetter"/>
      <w:start w:val="1"/>
    </w:lvl>
  </w:abstractNum>
  <w:abstractNum w:abstractNumId="34">
    <w:nsid w:val="542289EC"/>
    <w:multiLevelType w:val="hybridMultilevel"/>
    <w:lvl w:ilvl="0">
      <w:lvlJc w:val="left"/>
      <w:lvlText w:val="%1."/>
      <w:numFmt w:val="upperLetter"/>
      <w:start w:val="2"/>
    </w:lvl>
  </w:abstractNum>
  <w:abstractNum w:abstractNumId="35">
    <w:nsid w:val="6DE91B18"/>
    <w:multiLevelType w:val="hybridMultilevel"/>
    <w:lvl w:ilvl="0">
      <w:lvlJc w:val="left"/>
      <w:lvlText w:val="%1."/>
      <w:numFmt w:val="upperLetter"/>
      <w:start w:val="3"/>
    </w:lvl>
  </w:abstractNum>
  <w:abstractNum w:abstractNumId="36">
    <w:nsid w:val="38437FDB"/>
    <w:multiLevelType w:val="hybridMultilevel"/>
    <w:lvl w:ilvl="0">
      <w:lvlJc w:val="left"/>
      <w:lvlText w:val="%1."/>
      <w:numFmt w:val="upperLetter"/>
      <w:start w:val="4"/>
    </w:lvl>
  </w:abstractNum>
  <w:abstractNum w:abstractNumId="37">
    <w:nsid w:val="7644A45C"/>
    <w:multiLevelType w:val="hybridMultilevel"/>
    <w:lvl w:ilvl="0">
      <w:lvlJc w:val="left"/>
      <w:lvlText w:val="%1."/>
      <w:numFmt w:val="upperLetter"/>
      <w:start w:val="5"/>
    </w:lvl>
  </w:abstractNum>
  <w:abstractNum w:abstractNumId="38">
    <w:nsid w:val="32FFF902"/>
    <w:multiLevelType w:val="hybridMultilevel"/>
    <w:lvl w:ilvl="0">
      <w:lvlJc w:val="left"/>
      <w:lvlText w:val="%1."/>
      <w:numFmt w:val="upperLetter"/>
      <w:start w:val="6"/>
    </w:lvl>
  </w:abstractNum>
  <w:abstractNum w:abstractNumId="39">
    <w:nsid w:val="684A481A"/>
    <w:multiLevelType w:val="hybridMultilevel"/>
    <w:lvl w:ilvl="0">
      <w:lvlJc w:val="left"/>
      <w:lvlText w:val="%1."/>
      <w:numFmt w:val="upperLetter"/>
      <w:start w:val="7"/>
    </w:lvl>
  </w:abstractNum>
  <w:abstractNum w:abstractNumId="40">
    <w:nsid w:val="579478FE"/>
    <w:multiLevelType w:val="hybridMultilevel"/>
    <w:lvl w:ilvl="0">
      <w:lvlJc w:val="left"/>
      <w:lvlText w:val="%1."/>
      <w:numFmt w:val="upperLetter"/>
      <w:start w:val="8"/>
    </w:lvl>
  </w:abstractNum>
  <w:abstractNum w:abstractNumId="41">
    <w:nsid w:val="749ABB43"/>
    <w:multiLevelType w:val="hybridMultilevel"/>
    <w:lvl w:ilvl="0">
      <w:lvlJc w:val="left"/>
      <w:lvlText w:val="%1."/>
      <w:numFmt w:val="upperLetter"/>
      <w:start w:val="9"/>
    </w:lvl>
  </w:abstractNum>
  <w:abstractNum w:abstractNumId="42">
    <w:nsid w:val="3DC240FB"/>
    <w:multiLevelType w:val="hybridMultilevel"/>
    <w:lvl w:ilvl="0">
      <w:lvlJc w:val="left"/>
      <w:lvlText w:val="%1."/>
      <w:numFmt w:val="upperLetter"/>
      <w:start w:val="10"/>
    </w:lvl>
  </w:abstractNum>
  <w:abstractNum w:abstractNumId="43">
    <w:nsid w:val="1BA026FA"/>
    <w:multiLevelType w:val="hybridMultilevel"/>
    <w:lvl w:ilvl="0">
      <w:lvlJc w:val="left"/>
      <w:lvlText w:val="%1."/>
      <w:numFmt w:val="upperLetter"/>
      <w:start w:val="11"/>
    </w:lvl>
  </w:abstractNum>
  <w:abstractNum w:abstractNumId="44">
    <w:nsid w:val="79A1DEAA"/>
    <w:multiLevelType w:val="hybridMultilevel"/>
    <w:lvl w:ilvl="0">
      <w:lvlJc w:val="left"/>
      <w:lvlText w:val="%1."/>
      <w:numFmt w:val="upperLetter"/>
      <w:start w:val="12"/>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upperLetter"/>
      <w:start w:val="1"/>
    </w:lvl>
  </w:abstractNum>
  <w:abstractNum w:abstractNumId="53">
    <w:nsid w:val="275AC794"/>
    <w:multiLevelType w:val="hybridMultilevel"/>
    <w:lvl w:ilvl="0">
      <w:lvlJc w:val="left"/>
      <w:lvlText w:val="%1."/>
      <w:numFmt w:val="upperLetter"/>
      <w:start w:val="2"/>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66" Type="http://schemas.openxmlformats.org/officeDocument/2006/relationships/hyperlink" Target="http://www.sec.gov/Archives/edgar/data/883975/000119312516682077/d161430dex21.htm" TargetMode="External"/><Relationship Id="rId67" Type="http://schemas.openxmlformats.org/officeDocument/2006/relationships/hyperlink" Target="http://www.sec.gov/Archives/edgar/data/883975/000095013407005808/f27726exv3w1.htm" TargetMode="External"/><Relationship Id="rId68" Type="http://schemas.openxmlformats.org/officeDocument/2006/relationships/hyperlink" Target="http://www.sec.gov/Archives/edgar/data/883975/000119312516779729/d296933dex31.htm" TargetMode="External"/><Relationship Id="rId69" Type="http://schemas.openxmlformats.org/officeDocument/2006/relationships/hyperlink" Target="http://www.sec.gov/Archives/edgar/data/883975/000149315218012872/ex3-1.htm" TargetMode="External"/><Relationship Id="rId70" Type="http://schemas.openxmlformats.org/officeDocument/2006/relationships/hyperlink" Target="http://www.sec.gov/Archives/edgar/data/883975/000129993316002374/exhibit1.htm" TargetMode="External"/><Relationship Id="rId71" Type="http://schemas.openxmlformats.org/officeDocument/2006/relationships/hyperlink" Target="http://www.sec.gov/Archives/edgar/data/883975/000149315218017395/ex3-1.htm" TargetMode="External"/><Relationship Id="rId72" Type="http://schemas.openxmlformats.org/officeDocument/2006/relationships/hyperlink" Target="http://www.sec.gov/Archives/edgar/data/883975/000119312516501361/d68391dex41.htm" TargetMode="External"/><Relationship Id="rId73" Type="http://schemas.openxmlformats.org/officeDocument/2006/relationships/hyperlink" Target="http://www.sec.gov/Archives/edgar/data/883975/000119312516501361/d68391dex42.htm" TargetMode="External"/><Relationship Id="rId74" Type="http://schemas.openxmlformats.org/officeDocument/2006/relationships/hyperlink" Target="http://www.sec.gov/Archives/edgar/data/883975/000149315219000672/ex4-1.htm" TargetMode="External"/><Relationship Id="rId75" Type="http://schemas.openxmlformats.org/officeDocument/2006/relationships/hyperlink" Target="http://www.sec.gov/Archives/edgar/data/883975/000149315219000672/ex4-2.htm" TargetMode="External"/><Relationship Id="rId76" Type="http://schemas.openxmlformats.org/officeDocument/2006/relationships/hyperlink" Target="http://www.sec.gov/Archives/edgar/data/883975/000149315219000744/ex4-1.htm" TargetMode="External"/><Relationship Id="rId77" Type="http://schemas.openxmlformats.org/officeDocument/2006/relationships/hyperlink" Target="http://www.sec.gov/Archives/edgar/data/883975/000149315219000969/ex4-1.htm" TargetMode="External"/><Relationship Id="rId78" Type="http://schemas.openxmlformats.org/officeDocument/2006/relationships/hyperlink" Target="http://www.sec.gov/Archives/edgar/data/883975/000149315219000969/ex4-2.htm" TargetMode="External"/><Relationship Id="rId79" Type="http://schemas.openxmlformats.org/officeDocument/2006/relationships/hyperlink" Target="http://www.sec.gov/Archives/edgar/data/883975/000119312516779729/d296933dex104.htm" TargetMode="External"/><Relationship Id="rId80" Type="http://schemas.openxmlformats.org/officeDocument/2006/relationships/hyperlink" Target="http://www.sec.gov/Archives/edgar/data/883975/000119312516779729/d296933dex105.htm" TargetMode="External"/><Relationship Id="rId81" Type="http://schemas.openxmlformats.org/officeDocument/2006/relationships/hyperlink" Target="http://www.sec.gov/Archives/edgar/data/883975/000119312516779729/d296933dex106.htm" TargetMode="External"/><Relationship Id="rId82" Type="http://schemas.openxmlformats.org/officeDocument/2006/relationships/hyperlink" Target="http://www.sec.gov/Archives/edgar/data/883975/000100944816000078/exhibit101.htm" TargetMode="External"/><Relationship Id="rId83" Type="http://schemas.openxmlformats.org/officeDocument/2006/relationships/hyperlink" Target="http://www.sec.gov/Archives/edgar/data/883975/000119312517003127/d288153dex101.htm" TargetMode="External"/><Relationship Id="rId84" Type="http://schemas.openxmlformats.org/officeDocument/2006/relationships/hyperlink" Target="http://www.sec.gov/Archives/edgar/data/883975/000119312517003127/d288153dex102.htm" TargetMode="External"/><Relationship Id="rId85" Type="http://schemas.openxmlformats.org/officeDocument/2006/relationships/hyperlink" Target="http://www.sec.gov/Archives/edgar/data/883975/000149315217002678/ex10-11.htm" TargetMode="External"/><Relationship Id="rId86" Type="http://schemas.openxmlformats.org/officeDocument/2006/relationships/hyperlink" Target="http://www.sec.gov/Archives/edgar/data/883975/000149315217002678/ex10-13.htm" TargetMode="External"/><Relationship Id="rId87" Type="http://schemas.openxmlformats.org/officeDocument/2006/relationships/hyperlink" Target="http://www.sec.gov/Archives/edgar/data/883975/000149315217002678/ex10-14.htm" TargetMode="External"/><Relationship Id="rId88" Type="http://schemas.openxmlformats.org/officeDocument/2006/relationships/hyperlink" Target="http://www.sec.gov/Archives/edgar/data/883975/000149315217013222/ex10-1.htm" TargetMode="External"/><Relationship Id="rId89" Type="http://schemas.openxmlformats.org/officeDocument/2006/relationships/hyperlink" Target="http://www.sec.gov/Archives/edgar/data/883975/000119312516681927/d398404dex104.htm" TargetMode="External"/><Relationship Id="rId90" Type="http://schemas.openxmlformats.org/officeDocument/2006/relationships/hyperlink" Target="http://www.sec.gov/Archives/edgar/data/883975/000119312516681927/d398404dex105.htm" TargetMode="External"/><Relationship Id="rId91" Type="http://schemas.openxmlformats.org/officeDocument/2006/relationships/hyperlink" Target="http://www.sec.gov/Archives/edgar/data/883975/000119312516681927/d398404dex106.htm" TargetMode="External"/><Relationship Id="rId92" Type="http://schemas.openxmlformats.org/officeDocument/2006/relationships/hyperlink" Target="http://www.sec.gov/Archives/edgar/data/883975/000149315218000286/ex10-1.htm" TargetMode="External"/><Relationship Id="rId93" Type="http://schemas.openxmlformats.org/officeDocument/2006/relationships/hyperlink" Target="http://www.sec.gov/Archives/edgar/data/883975/000149315218016474/ex10-29.htm" TargetMode="External"/><Relationship Id="rId94" Type="http://schemas.openxmlformats.org/officeDocument/2006/relationships/hyperlink" Target="http://www.sec.gov/Archives/edgar/data/883975/000149315219000672/ex10-1.htm" TargetMode="External"/><Relationship Id="rId95" Type="http://schemas.openxmlformats.org/officeDocument/2006/relationships/hyperlink" Target="http://www.sec.gov/Archives/edgar/data/883975/000149315219000672/ex10-2.htm" TargetMode="External"/><Relationship Id="rId96" Type="http://schemas.openxmlformats.org/officeDocument/2006/relationships/hyperlink" Target="http://www.sec.gov/Archives/edgar/data/883975/000149315219000744/ex10-2.htm" TargetMode="External"/><Relationship Id="rId97" Type="http://schemas.openxmlformats.org/officeDocument/2006/relationships/hyperlink" Target="http://www.sec.gov/Archives/edgar/data/883975/000149315219000969/ex10-2.htm" TargetMode="External"/><Relationship Id="rId98" Type="http://schemas.openxmlformats.org/officeDocument/2006/relationships/hyperlink" Target="http://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2019-12-28T14:04:08Z</dcterms:created>
  <dcterms:modified xsi:type="dcterms:W3CDTF">2019-12-28T14:04:08Z</dcterms:modified>
</cp:coreProperties>
</file>