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2"/>
                <w:szCs w:val="22"/>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23, 2023, Microbot Medical Inc., a Delaware corporation (the “Company”), entered into a Securities Purchase Agreement (the “Purchase Agreement”) with an institutional investor (the “Investor”), pursuant to which the Company agreed to issue and sell, in a registered direct offering priced at-the-market under the rules of The Nasdaq Stock Market (the “Offering”), (i) an aggregate of 975,000 shares (the “Shares”) of the Company’s common stock, par value $0.01 per share (“Common Stock”), at an offering price of $2.20 per share and (ii) pre-funded warrants exercisable for up to 234,500 shares of Common Stock (the “Pre-Funded Warrants”) to the Investor at an offering price of $2.1999 per Pre-Funded Warrant, for aggregate gross proceeds from the Offering of approximately $2.66 million before deducting the placement agent fee (as described in greater detail below) and related offering expenses.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Pre-Funded Warrants were sold, in lieu of shares of Common Stock, to any Investor whose purchase of shares of Common Stock in the Offering would otherwise result in such Investor, together with its affiliates and certain related parties, beneficially owning more than 9.99% of the Company’s outstanding Common Stock immediately following the consummation of the Offering. 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Investor and customary indemnification rights and obligations of the parties. Pursuant to the terms of the Purchase Agreement, the Company has agreed to certain restrictions on the issuance and sale of its Common Stock or Common Stock Equivalents (as defined in the Purchase Agreement) during the 5-trading day period following the closing of the Offering.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Shares and Pre-Funded Warrants were offered by the Company pursuant to a registration statement on Form S-3 (File No. 333-250966), which was filed with the Securities and Exchange Commission (the “Commission”) on November 25, 2020 and was declared effective by the Commission on December 4, 2020 (the “Registration Statement”), a base prospectus dated December 4, 2020 and a prospectus supplement dated May 23, 2023.</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holder (together with its affiliates) may not exercise any portion of the Pre-Funded Warrants to the extent that the holder would own more than 9.99% of the Company’s outstanding Common Stock immediately after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6"/>
          <w:szCs w:val="16"/>
          <w:color w:val="auto"/>
        </w:rPr>
        <w:t>On May 16, 2023 and in connection with the Offering, the Company entered into an engagement letter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 plus a management fee equal to 1.0% of the gross proceeds received by the Company from the Offering, a non-accountable expense of $25,000, up to $35,000 for its fees and expenses of legal counsel and $15,950 for clearing expenses. The Company has also agreed to issue to Wainwright or its designees warrants to purchase 60,475 shares of Common Stock (the “Wainwright Warrants” and, together with the Pre-Funded Warrants, the “Warrants”). The Wainwright Warrants will be exercisable six months following issuance, have a term of three and a half years from the closing of the Offering, and have an exercise price of $2.75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The Engagement Letter also includes indemnification obligations of the Company and other provisions customary for transactions of this nature.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Neither of the Wainwright Warrants nor the shares of Common Stock issuable upon the exercise of the Wainwright Warrants (the “Warrant Shares”) are registered under the Securities Act of 1933, as amended (the “Securities Act”). The Wainwright Warrants and the Warrant Shares were issued in reliance on the exemptions from registration provided by Section 4(a)(2) under the Securities Act.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Offering, the Company also entered into a warrant amendment agreement (the “Warrant Amendment Agreement”) with the Investor. Under the Warrant Amendment Agreement, the Company agreed to amend the terms of its (i) Series A preferred investment options to purchase 1,022,495 shares of its Common Stock for an exercise price of $4.64 per share which are scheduled to expire on October 25, 2027 and (ii) Series B preferred investment options to purchase 1,022,495 shares of its Common Stock for an exercise price of $4.64 per share which were initially scheduled to expire on October 25, 2024, previously issued to the Investor in October 2022 (the “Existing Preferred Investment Options”), such that effective upon the closing of the Offering, the Existing Preferred Investment Options will have a reduced exercise price of $2.20 per share and the Series B preferred investment options will expire on October 25, 2027.</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summaries of the form of Pre-Funded Warrant, the form of Wainwright Warrant, the form of Purchase Agreement and the form of Warrant Amendment Agreement do not purport to be complete and are subject to, and qualified in their entirety by, such documents attached as Exhibits 4.1, 4.2, 10.1 and 10.2 respectively, to this Current Report on Form 8-K,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opinion of Mintz, Levin, Cohn, Ferris, Glovsky and Popeo, P.C. relating to the legality of the issuance and sale of the Shares is attached as Exhibit 5.1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Item 1.01 above related to the Wainwright Warrants and the Warrant Shares is incorporated herein by reference into this Item 3.02.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herein by reference into this Item 3.03.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23, 2023, the Company issued a press release announcing the Offering, a copy of which is attached hereto as Exhibit 99.1 and is incorporated by reference into this Item 8.01 of this Current Report on Form 8-K. On May 24, 2023, the Company issued a press release announcing the closing of the Offering, a copy of which is attached hereto as Exhibit 99.2 and is incorporated by reference into this Item 8.01 of this Current Report on Form 8-K.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EE"/>
        </w:rPr>
        <w:t>Form of Pre-Funded Warrant.</w:t>
      </w:r>
    </w:p>
    <w:p>
      <w:pPr>
        <w:spacing w:after="0" w:line="23"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0000EE"/>
        </w:rPr>
        <w:t>Form of Wainwright Warrant.</w:t>
      </w:r>
    </w:p>
    <w:p>
      <w:pPr>
        <w:spacing w:after="0" w:line="9"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Mintz, Levin, Cohn, Ferris, Glovsky and Popeo, P.C.</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Form of Securities Purchase Agreement, dated as of May 23, 2023, by and between the Company and the Investor.</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0000EE"/>
        </w:rPr>
        <w:t>Form of Warrant Amendment Agreement, dated as of May 23, 2023, by and between the Company and the Investor.</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Mintz, Levin, Cohn, Ferris, Glovsky and Popeo, P.C. (included in Exhibit 5.1).</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Pricing Press Release.</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u w:val="single" w:color="auto"/>
          <w:color w:val="0000EE"/>
        </w:rPr>
        <w:t>Closing Press Release.</w:t>
      </w:r>
    </w:p>
    <w:p>
      <w:pPr>
        <w:spacing w:after="0" w:line="9"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Exhibit 4.1</w:t>
            </w:r>
          </w:p>
        </w:tc>
      </w:tr>
      <w:tr>
        <w:trPr>
          <w:trHeight w:val="432"/>
        </w:trPr>
        <w:tc>
          <w:tcPr>
            <w:tcW w:w="1240" w:type="dxa"/>
            <w:vAlign w:val="bottom"/>
          </w:tcPr>
          <w:p>
            <w:pPr>
              <w:spacing w:after="0"/>
              <w:rPr>
                <w:sz w:val="24"/>
                <w:szCs w:val="24"/>
                <w:color w:val="auto"/>
              </w:rPr>
            </w:pPr>
          </w:p>
        </w:tc>
        <w:tc>
          <w:tcPr>
            <w:tcW w:w="8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PRE-FUNDED COMMON STOCK PURCHASE WARRANT</w:t>
            </w:r>
          </w:p>
        </w:tc>
        <w:tc>
          <w:tcPr>
            <w:tcW w:w="11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8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MICROBOT MEDICAL INC.</w:t>
            </w:r>
          </w:p>
        </w:tc>
        <w:tc>
          <w:tcPr>
            <w:tcW w:w="1100" w:type="dxa"/>
            <w:vAlign w:val="bottom"/>
          </w:tcPr>
          <w:p>
            <w:pPr>
              <w:spacing w:after="0"/>
              <w:rPr>
                <w:sz w:val="24"/>
                <w:szCs w:val="24"/>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w w:val="93"/>
              </w:rPr>
              <w:t>Warrant Shares:</w:t>
            </w:r>
          </w:p>
        </w:tc>
        <w:tc>
          <w:tcPr>
            <w:tcW w:w="8900" w:type="dxa"/>
            <w:vAlign w:val="bottom"/>
            <w:gridSpan w:val="3"/>
          </w:tcPr>
          <w:p>
            <w:pPr>
              <w:ind w:left="4380"/>
              <w:spacing w:after="0"/>
              <w:rPr>
                <w:sz w:val="20"/>
                <w:szCs w:val="20"/>
                <w:color w:val="auto"/>
              </w:rPr>
            </w:pPr>
            <w:r>
              <w:rPr>
                <w:rFonts w:ascii="Arial" w:cs="Arial" w:eastAsia="Arial" w:hAnsi="Arial"/>
                <w:sz w:val="18"/>
                <w:szCs w:val="18"/>
                <w:color w:val="auto"/>
              </w:rPr>
              <w:t>Initial Exercise Date: May 24, 2023</w:t>
            </w:r>
          </w:p>
        </w:tc>
        <w:tc>
          <w:tcPr>
            <w:tcW w:w="1100" w:type="dxa"/>
            <w:vAlign w:val="bottom"/>
          </w:tcPr>
          <w:p>
            <w:pPr>
              <w:spacing w:after="0"/>
              <w:rPr>
                <w:sz w:val="24"/>
                <w:szCs w:val="24"/>
                <w:color w:val="auto"/>
              </w:rPr>
            </w:pPr>
          </w:p>
        </w:tc>
      </w:tr>
      <w:tr>
        <w:trPr>
          <w:trHeight w:val="392"/>
        </w:trPr>
        <w:tc>
          <w:tcPr>
            <w:tcW w:w="1240" w:type="dxa"/>
            <w:vAlign w:val="bottom"/>
          </w:tcPr>
          <w:p>
            <w:pPr>
              <w:spacing w:after="0"/>
              <w:rPr>
                <w:sz w:val="24"/>
                <w:szCs w:val="24"/>
                <w:color w:val="auto"/>
              </w:rPr>
            </w:pPr>
          </w:p>
        </w:tc>
        <w:tc>
          <w:tcPr>
            <w:tcW w:w="89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THIS PRE-FUNDED COMMON STOCK PURCHASE WARRANT (the “Warrant”) certifies that, for value received,</w:t>
            </w:r>
          </w:p>
        </w:tc>
        <w:tc>
          <w:tcPr>
            <w:tcW w:w="1100" w:type="dxa"/>
            <w:vAlign w:val="bottom"/>
          </w:tcPr>
          <w:p>
            <w:pPr>
              <w:jc w:val="right"/>
              <w:spacing w:after="0"/>
              <w:rPr>
                <w:sz w:val="20"/>
                <w:szCs w:val="20"/>
                <w:color w:val="auto"/>
              </w:rPr>
            </w:pPr>
            <w:r>
              <w:rPr>
                <w:rFonts w:ascii="Arial" w:cs="Arial" w:eastAsia="Arial" w:hAnsi="Arial"/>
                <w:sz w:val="18"/>
                <w:szCs w:val="18"/>
                <w:color w:val="auto"/>
              </w:rPr>
              <w:t>or its</w:t>
            </w:r>
          </w:p>
        </w:tc>
      </w:tr>
      <w:tr>
        <w:trPr>
          <w:trHeight w:val="20"/>
        </w:trPr>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date set forth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until this Warrant is exercised in full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w:t>
      </w:r>
    </w:p>
    <w:p>
      <w:pPr>
        <w:jc w:val="both"/>
        <w:spacing w:after="0" w:line="255" w:lineRule="auto"/>
        <w:rPr>
          <w:sz w:val="20"/>
          <w:szCs w:val="20"/>
          <w:color w:val="auto"/>
        </w:rPr>
      </w:pPr>
      <w:r>
        <w:rPr>
          <w:rFonts w:ascii="Arial" w:cs="Arial" w:eastAsia="Arial" w:hAnsi="Arial"/>
          <w:sz w:val="18"/>
          <w:szCs w:val="18"/>
          <w:color w:val="auto"/>
        </w:rPr>
        <w:t>purchase from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up to shares (as subject to adjustment hereunder,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May 23, 2023, among the Company and the purchasers signatory thereto.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5" w:lineRule="auto"/>
        <w:tabs>
          <w:tab w:leader="none" w:pos="149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Warrant,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left="-460" w:firstLine="644"/>
        <w:spacing w:after="0" w:line="255" w:lineRule="auto"/>
        <w:tabs>
          <w:tab w:leader="none" w:pos="39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60" w:firstLine="644"/>
        <w:spacing w:after="0" w:line="308" w:lineRule="auto"/>
        <w:tabs>
          <w:tab w:leader="none" w:pos="373"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46" w:lineRule="exact"/>
        <w:rPr>
          <w:sz w:val="20"/>
          <w:szCs w:val="20"/>
          <w:color w:val="auto"/>
        </w:rPr>
      </w:pPr>
    </w:p>
    <w:p>
      <w:pPr>
        <w:jc w:val="both"/>
        <w:ind w:left="580" w:hanging="388"/>
        <w:spacing w:after="0" w:line="269" w:lineRule="auto"/>
        <w:rPr>
          <w:sz w:val="20"/>
          <w:szCs w:val="20"/>
          <w:color w:val="auto"/>
        </w:rPr>
      </w:pPr>
      <w:r>
        <w:rPr>
          <w:rFonts w:ascii="Arial" w:cs="Arial" w:eastAsia="Arial" w:hAnsi="Arial"/>
          <w:sz w:val="17"/>
          <w:szCs w:val="17"/>
          <w:color w:val="auto"/>
        </w:rPr>
        <w:t>(A)=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 the Exercise Price of this Warrant, as adjusted hereunder; and</w:t>
      </w:r>
    </w:p>
    <w:p>
      <w:pPr>
        <w:spacing w:after="0" w:line="225" w:lineRule="exact"/>
        <w:rPr>
          <w:sz w:val="20"/>
          <w:szCs w:val="20"/>
          <w:color w:val="auto"/>
        </w:rPr>
      </w:pPr>
    </w:p>
    <w:p>
      <w:pPr>
        <w:jc w:val="both"/>
        <w:ind w:left="580" w:hanging="388"/>
        <w:spacing w:after="0" w:line="277" w:lineRule="auto"/>
        <w:rPr>
          <w:sz w:val="20"/>
          <w:szCs w:val="20"/>
          <w:color w:val="auto"/>
        </w:rPr>
      </w:pPr>
      <w:r>
        <w:rPr>
          <w:rFonts w:ascii="Arial" w:cs="Arial" w:eastAsia="Arial" w:hAnsi="Arial"/>
          <w:sz w:val="18"/>
          <w:szCs w:val="18"/>
          <w:color w:val="auto"/>
        </w:rPr>
        <w:t>(X)= the number of Warrant Shares that would be issuable upon exercise of this Warrant in accordance with the terms of this Warrant if such exercise were by means of a cash exercise rather than a cashless exercise.</w:t>
      </w:r>
    </w:p>
    <w:p>
      <w:pPr>
        <w:spacing w:after="0" w:line="2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7" w:name="page8"/>
    <w:bookmarkEnd w:id="7"/>
    <w:p>
      <w:pPr>
        <w:jc w:val="both"/>
        <w:ind w:firstLine="648"/>
        <w:spacing w:after="0" w:line="269" w:lineRule="auto"/>
        <w:rPr>
          <w:sz w:val="20"/>
          <w:szCs w:val="20"/>
          <w:color w:val="auto"/>
        </w:rPr>
      </w:pP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8" w:name="page9"/>
    <w:bookmarkEnd w:id="8"/>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83" w:lineRule="auto"/>
        <w:tabs>
          <w:tab w:leader="none" w:pos="1636"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200" w:lineRule="exact"/>
        <w:rPr>
          <w:sz w:val="20"/>
          <w:szCs w:val="20"/>
          <w:color w:val="auto"/>
        </w:rPr>
      </w:pPr>
    </w:p>
    <w:p>
      <w:pPr>
        <w:spacing w:after="0" w:line="20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9" w:name="page10"/>
    <w:bookmarkEnd w:id="9"/>
    <w:p>
      <w:pPr>
        <w:jc w:val="both"/>
        <w:ind w:left="840" w:firstLine="640"/>
        <w:spacing w:after="0" w:line="279" w:lineRule="auto"/>
        <w:tabs>
          <w:tab w:leader="none" w:pos="167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840" w:firstLine="640"/>
        <w:spacing w:after="0" w:line="342" w:lineRule="auto"/>
        <w:tabs>
          <w:tab w:leader="none" w:pos="174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jc w:val="both"/>
        <w:ind w:left="840" w:firstLine="640"/>
        <w:spacing w:after="0" w:line="284" w:lineRule="auto"/>
        <w:tabs>
          <w:tab w:leader="none" w:pos="173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0" w:name="page11"/>
    <w:bookmarkEnd w:id="10"/>
    <w:p>
      <w:pPr>
        <w:jc w:val="both"/>
        <w:ind w:left="1300" w:firstLine="648"/>
        <w:spacing w:after="0" w:line="279"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sz w:val="20"/>
          <w:szCs w:val="20"/>
          <w:color w:val="auto"/>
        </w:rPr>
      </w:pPr>
    </w:p>
    <w:p>
      <w:pPr>
        <w:jc w:val="both"/>
        <w:ind w:left="1300" w:firstLine="640"/>
        <w:spacing w:after="0" w:line="289" w:lineRule="auto"/>
        <w:tabs>
          <w:tab w:leader="none" w:pos="2185"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1300" w:firstLine="640"/>
        <w:spacing w:after="0" w:line="277" w:lineRule="auto"/>
        <w:tabs>
          <w:tab w:leader="none" w:pos="2236"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jc w:val="both"/>
        <w:ind w:firstLine="644"/>
        <w:spacing w:after="0" w:line="282" w:lineRule="auto"/>
        <w:tabs>
          <w:tab w:leader="none" w:pos="85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w:t>
      </w:r>
      <w:r>
        <w:rPr>
          <w:rFonts w:ascii="Arial" w:cs="Arial" w:eastAsia="Arial" w:hAnsi="Arial"/>
          <w:sz w:val="16"/>
          <w:szCs w:val="16"/>
          <w:color w:val="auto"/>
        </w:rPr>
        <w:t>” shall be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5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84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2" w:name="page13"/>
    <w:bookmarkEnd w:id="12"/>
    <w:p>
      <w:pPr>
        <w:jc w:val="both"/>
        <w:ind w:left="-460" w:firstLine="644"/>
        <w:spacing w:after="0" w:line="268" w:lineRule="auto"/>
        <w:tabs>
          <w:tab w:leader="none" w:pos="38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6" w:lineRule="exact"/>
        <w:rPr>
          <w:rFonts w:ascii="Arial" w:cs="Arial" w:eastAsia="Arial" w:hAnsi="Arial"/>
          <w:sz w:val="17"/>
          <w:szCs w:val="17"/>
          <w:color w:val="auto"/>
        </w:rPr>
      </w:pPr>
    </w:p>
    <w:p>
      <w:pPr>
        <w:jc w:val="both"/>
        <w:ind w:left="-460" w:firstLine="644"/>
        <w:spacing w:after="0" w:line="283" w:lineRule="auto"/>
        <w:tabs>
          <w:tab w:leader="none" w:pos="40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Arial" w:cs="Arial" w:eastAsia="Arial" w:hAnsi="Arial"/>
          <w:sz w:val="16"/>
          <w:szCs w:val="16"/>
          <w:u w:val="single" w:color="auto"/>
          <w:color w:val="auto"/>
        </w:rPr>
        <w:t>Fundamental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pacing w:after="0" w:line="39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3" w:name="page14"/>
    <w:bookmarkEnd w:id="13"/>
    <w:p>
      <w:pPr>
        <w:jc w:val="both"/>
        <w:ind w:left="-460" w:firstLine="644"/>
        <w:spacing w:after="0" w:line="286" w:lineRule="auto"/>
        <w:tabs>
          <w:tab w:leader="none" w:pos="38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40" w:hanging="156"/>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311" w:lineRule="auto"/>
        <w:tabs>
          <w:tab w:leader="none" w:pos="1628"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48" w:lineRule="exact"/>
        <w:rPr>
          <w:rFonts w:ascii="Arial" w:cs="Arial" w:eastAsia="Arial" w:hAnsi="Arial"/>
          <w:sz w:val="16"/>
          <w:szCs w:val="16"/>
          <w:color w:val="auto"/>
        </w:rPr>
      </w:pPr>
    </w:p>
    <w:p>
      <w:pPr>
        <w:jc w:val="both"/>
        <w:ind w:left="840" w:firstLine="640"/>
        <w:spacing w:after="0" w:line="285" w:lineRule="auto"/>
        <w:tabs>
          <w:tab w:leader="none" w:pos="1709"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Section 3(f)(ii) in confidence until such information is publicly available, and shall comply with applicable law with respect to trading in the Company’s securities following receipt any such information.</w:t>
      </w:r>
    </w:p>
    <w:p>
      <w:pPr>
        <w:spacing w:after="0" w:line="3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4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1" w:lineRule="exact"/>
        <w:rPr>
          <w:rFonts w:ascii="Arial" w:cs="Arial" w:eastAsia="Arial" w:hAnsi="Arial"/>
          <w:sz w:val="17"/>
          <w:szCs w:val="17"/>
          <w:color w:val="auto"/>
        </w:rPr>
      </w:pPr>
    </w:p>
    <w:p>
      <w:pPr>
        <w:jc w:val="both"/>
        <w:ind w:firstLine="644"/>
        <w:spacing w:after="0" w:line="273" w:lineRule="auto"/>
        <w:tabs>
          <w:tab w:leader="none" w:pos="85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85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6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5" w:name="page16"/>
    <w:bookmarkEnd w:id="15"/>
    <w:p>
      <w:pPr>
        <w:jc w:val="both"/>
        <w:ind w:left="-460" w:firstLine="644"/>
        <w:spacing w:after="0" w:line="296" w:lineRule="auto"/>
        <w:tabs>
          <w:tab w:leader="none" w:pos="38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left="-460" w:firstLine="644"/>
        <w:spacing w:after="0" w:line="342" w:lineRule="auto"/>
        <w:tabs>
          <w:tab w:leader="none" w:pos="38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80" w:hanging="196"/>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6" w:name="page17"/>
    <w:bookmarkEnd w:id="16"/>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60" w:firstLine="644"/>
        <w:spacing w:after="0" w:line="277" w:lineRule="auto"/>
        <w:tabs>
          <w:tab w:leader="none" w:pos="38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left="-460" w:firstLine="644"/>
        <w:spacing w:after="0" w:line="308" w:lineRule="auto"/>
        <w:tabs>
          <w:tab w:leader="none" w:pos="367"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40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7" w:lineRule="exact"/>
        <w:rPr>
          <w:rFonts w:ascii="Arial" w:cs="Arial" w:eastAsia="Arial" w:hAnsi="Arial"/>
          <w:sz w:val="17"/>
          <w:szCs w:val="17"/>
          <w:color w:val="auto"/>
        </w:rPr>
      </w:pPr>
    </w:p>
    <w:p>
      <w:pPr>
        <w:ind w:left="-460" w:firstLine="644"/>
        <w:spacing w:after="0" w:line="277" w:lineRule="auto"/>
        <w:tabs>
          <w:tab w:leader="none" w:pos="39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34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34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7" w:name="page18"/>
    <w:bookmarkEnd w:id="17"/>
    <w:p>
      <w:pPr>
        <w:jc w:val="both"/>
        <w:ind w:firstLine="644"/>
        <w:spacing w:after="0" w:line="259" w:lineRule="auto"/>
        <w:tabs>
          <w:tab w:leader="none" w:pos="84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Holder.</w:t>
      </w:r>
    </w:p>
    <w:p>
      <w:pPr>
        <w:spacing w:after="0" w:line="210" w:lineRule="exact"/>
        <w:rPr>
          <w:rFonts w:ascii="Arial" w:cs="Arial" w:eastAsia="Arial" w:hAnsi="Arial"/>
          <w:sz w:val="16"/>
          <w:szCs w:val="16"/>
          <w:color w:val="auto"/>
        </w:rPr>
      </w:pPr>
    </w:p>
    <w:p>
      <w:pPr>
        <w:jc w:val="both"/>
        <w:ind w:firstLine="644"/>
        <w:spacing w:after="0" w:line="31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firstLine="644"/>
        <w:spacing w:after="0" w:line="277" w:lineRule="auto"/>
        <w:tabs>
          <w:tab w:leader="none" w:pos="8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8" w:name="page19"/>
    <w:bookmarkEnd w:id="18"/>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firstLine="1304"/>
        <w:spacing w:after="0" w:line="308" w:lineRule="auto"/>
        <w:tabs>
          <w:tab w:leader="none" w:pos="156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hanging="8"/>
        <w:spacing w:after="0" w:line="263" w:lineRule="auto"/>
        <w:tabs>
          <w:tab w:leader="none" w:pos="2133" w:val="left"/>
        </w:tabs>
        <w:numPr>
          <w:ilvl w:val="1"/>
          <w:numId w:val="17"/>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151765</wp:posOffset>
            </wp:positionV>
            <wp:extent cx="3566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151765</wp:posOffset>
            </wp:positionV>
            <wp:extent cx="3566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452120</wp:posOffset>
            </wp:positionV>
            <wp:extent cx="3566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751840</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3" w:lineRule="exact"/>
        <w:rPr>
          <w:sz w:val="20"/>
          <w:szCs w:val="20"/>
          <w:color w:val="auto"/>
        </w:rPr>
      </w:pPr>
    </w:p>
    <w:p>
      <w:pPr>
        <w:ind w:left="200" w:right="200"/>
        <w:spacing w:after="0" w:line="492" w:lineRule="auto"/>
        <w:rPr>
          <w:sz w:val="20"/>
          <w:szCs w:val="20"/>
          <w:color w:val="auto"/>
        </w:rPr>
      </w:pPr>
      <w:r>
        <w:rPr>
          <w:rFonts w:ascii="Arial" w:cs="Arial" w:eastAsia="Arial" w:hAnsi="Arial"/>
          <w:sz w:val="18"/>
          <w:szCs w:val="18"/>
          <w:i w:val="1"/>
          <w:iCs w:val="1"/>
          <w:color w:val="auto"/>
        </w:rPr>
        <w:t xml:space="preserve">(To assign the foregoing Warrant, execute this form and supply required information. Do not use this form to exercise the Warrant to purchase shares.) </w:t>
      </w:r>
      <w:r>
        <w:rPr>
          <w:rFonts w:ascii="Arial" w:cs="Arial" w:eastAsia="Arial" w:hAnsi="Arial"/>
          <w:sz w:val="18"/>
          <w:szCs w:val="18"/>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r>
        <w:rPr>
          <w:rFonts w:ascii="Arial" w:cs="Arial" w:eastAsia="Arial" w:hAnsi="Arial"/>
          <w:sz w:val="18"/>
          <w:szCs w:val="18"/>
          <w:u w:val="single" w:color="auto"/>
          <w:color w:val="auto"/>
        </w:rPr>
        <w:t>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r>
        <w:rPr>
          <w:rFonts w:ascii="Arial" w:cs="Arial" w:eastAsia="Arial" w:hAnsi="Arial"/>
          <w:sz w:val="18"/>
          <w:szCs w:val="18"/>
          <w:u w:val="single" w:color="auto"/>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10400"/>
        <w:spacing w:after="0"/>
        <w:rPr>
          <w:sz w:val="20"/>
          <w:szCs w:val="20"/>
          <w:color w:val="auto"/>
        </w:rPr>
      </w:pPr>
      <w:r>
        <w:rPr>
          <w:rFonts w:ascii="Arial" w:cs="Arial" w:eastAsia="Arial" w:hAnsi="Arial"/>
          <w:sz w:val="16"/>
          <w:szCs w:val="16"/>
          <w:b w:val="1"/>
          <w:bCs w:val="1"/>
          <w:color w:val="auto"/>
        </w:rPr>
        <w:t>Exhibit 4.2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PREFERRED INVESTMENT OPTION</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Preferred Investment Option Shares: ______ Initial Exercise Date: November 24, 2023</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THIS PLACEMENT AGENT PREFERRED INVESTMENT OPTION (the “</w:t>
      </w:r>
      <w:r>
        <w:rPr>
          <w:rFonts w:ascii="Arial" w:cs="Arial" w:eastAsia="Arial" w:hAnsi="Arial"/>
          <w:sz w:val="16"/>
          <w:szCs w:val="16"/>
          <w:u w:val="single" w:color="auto"/>
          <w:color w:val="auto"/>
        </w:rPr>
        <w:t>Preferred Investment Option</w:t>
      </w:r>
      <w:r>
        <w:rPr>
          <w:rFonts w:ascii="Arial" w:cs="Arial" w:eastAsia="Arial" w:hAnsi="Arial"/>
          <w:sz w:val="16"/>
          <w:szCs w:val="16"/>
          <w:color w:val="auto"/>
        </w:rPr>
        <w:t>”) certifies that, for value received, 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w:t>
      </w:r>
    </w:p>
    <w:p>
      <w:pPr>
        <w:jc w:val="both"/>
        <w:spacing w:after="0" w:line="281" w:lineRule="auto"/>
        <w:rPr>
          <w:sz w:val="20"/>
          <w:szCs w:val="20"/>
          <w:color w:val="auto"/>
        </w:rPr>
      </w:pPr>
      <w:r>
        <w:rPr>
          <w:rFonts w:ascii="Arial" w:cs="Arial" w:eastAsia="Arial" w:hAnsi="Arial"/>
          <w:sz w:val="16"/>
          <w:szCs w:val="16"/>
          <w:color w:val="auto"/>
        </w:rPr>
        <w:t>set forth, at any time on or after the date set forth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November 24, 2026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Microbot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 the “</w:t>
      </w:r>
      <w:r>
        <w:rPr>
          <w:rFonts w:ascii="Arial" w:cs="Arial" w:eastAsia="Arial" w:hAnsi="Arial"/>
          <w:sz w:val="16"/>
          <w:szCs w:val="16"/>
          <w:u w:val="single" w:color="auto"/>
          <w:color w:val="auto"/>
        </w:rPr>
        <w:t>Preferred Investment Option Shares</w:t>
      </w:r>
      <w:r>
        <w:rPr>
          <w:rFonts w:ascii="Arial" w:cs="Arial" w:eastAsia="Arial" w:hAnsi="Arial"/>
          <w:sz w:val="16"/>
          <w:szCs w:val="16"/>
          <w:color w:val="auto"/>
        </w:rPr>
        <w:t>”) of Common Stock. The purchase price of one share of</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Common Stock under this Preferred Investment Option shall be equal to the Exercise Price, as defined in Section 2(b). This Preferred Investment Option is being issued pursuant to that certain Engagement Agreement between the Company and H.C. Wainwright &amp; Co., LLC, dated as of May 16, 2023.</w:t>
      </w:r>
    </w:p>
    <w:p>
      <w:pPr>
        <w:spacing w:after="0" w:line="1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May 23, 2023, among the Company and the purchasers signatory thereto.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5" w:lineRule="auto"/>
        <w:tabs>
          <w:tab w:leader="none" w:pos="85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Exercise of Preferred Investment Option</w:t>
      </w:r>
      <w:r>
        <w:rPr>
          <w:rFonts w:ascii="Arial" w:cs="Arial" w:eastAsia="Arial" w:hAnsi="Arial"/>
          <w:sz w:val="16"/>
          <w:szCs w:val="16"/>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Preferred Investment Option,</w:t>
      </w:r>
      <w:r>
        <w:rPr>
          <w:rFonts w:ascii="Arial" w:cs="Arial" w:eastAsia="Arial" w:hAnsi="Arial"/>
          <w:sz w:val="16"/>
          <w:szCs w:val="16"/>
          <w:color w:val="auto"/>
        </w:rPr>
        <w:t xml:space="preserve"> </w:t>
      </w:r>
      <w:r>
        <w:rPr>
          <w:rFonts w:ascii="Arial" w:cs="Arial" w:eastAsia="Arial" w:hAnsi="Arial"/>
          <w:sz w:val="16"/>
          <w:szCs w:val="16"/>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380" w:lineRule="exact"/>
        <w:rPr>
          <w:rFonts w:ascii="Arial" w:cs="Arial" w:eastAsia="Arial" w:hAnsi="Arial"/>
          <w:sz w:val="16"/>
          <w:szCs w:val="16"/>
          <w:color w:val="auto"/>
        </w:rPr>
      </w:pPr>
    </w:p>
    <w:p>
      <w:pPr>
        <w:ind w:firstLine="644"/>
        <w:spacing w:after="0" w:line="282" w:lineRule="auto"/>
        <w:tabs>
          <w:tab w:leader="none" w:pos="87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Preferred Investment Option shall be </w:t>
      </w:r>
      <w:r>
        <w:rPr>
          <w:rFonts w:ascii="Arial" w:cs="Arial" w:eastAsia="Arial" w:hAnsi="Arial"/>
          <w:sz w:val="18"/>
          <w:szCs w:val="18"/>
          <w:b w:val="1"/>
          <w:bCs w:val="1"/>
          <w:color w:val="auto"/>
        </w:rPr>
        <w:t>$2.75</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44"/>
        <w:spacing w:after="0" w:line="279" w:lineRule="auto"/>
        <w:tabs>
          <w:tab w:leader="none" w:pos="84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23" w:name="page24"/>
    <w:bookmarkEnd w:id="23"/>
    <w:p>
      <w:pPr>
        <w:jc w:val="both"/>
        <w:ind w:left="1040" w:hanging="388"/>
        <w:spacing w:after="0" w:line="269" w:lineRule="auto"/>
        <w:rPr>
          <w:sz w:val="20"/>
          <w:szCs w:val="20"/>
          <w:color w:val="auto"/>
        </w:rPr>
      </w:pPr>
      <w:r>
        <w:rPr>
          <w:rFonts w:ascii="Arial" w:cs="Arial" w:eastAsia="Arial" w:hAnsi="Arial"/>
          <w:sz w:val="17"/>
          <w:szCs w:val="17"/>
          <w:color w:val="auto"/>
        </w:rPr>
        <w:t>(A)=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the Exercise Price of this Preferred Investment Option, as adjusted hereunder; and</w:t>
      </w:r>
    </w:p>
    <w:p>
      <w:pPr>
        <w:spacing w:after="0" w:line="225" w:lineRule="exact"/>
        <w:rPr>
          <w:sz w:val="20"/>
          <w:szCs w:val="20"/>
          <w:color w:val="auto"/>
        </w:rPr>
      </w:pPr>
    </w:p>
    <w:p>
      <w:pPr>
        <w:jc w:val="both"/>
        <w:ind w:left="1040" w:hanging="388"/>
        <w:spacing w:after="0" w:line="263" w:lineRule="auto"/>
        <w:rPr>
          <w:sz w:val="20"/>
          <w:szCs w:val="20"/>
          <w:color w:val="auto"/>
        </w:rPr>
      </w:pPr>
      <w:r>
        <w:rPr>
          <w:rFonts w:ascii="Arial" w:cs="Arial" w:eastAsia="Arial" w:hAnsi="Arial"/>
          <w:sz w:val="18"/>
          <w:szCs w:val="18"/>
          <w:color w:val="auto"/>
        </w:rPr>
        <w:t>(X)=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24" w:name="page25"/>
    <w:bookmarkEnd w:id="24"/>
    <w:p>
      <w:pPr>
        <w:jc w:val="both"/>
        <w:ind w:firstLine="648"/>
        <w:spacing w:after="0" w:line="301" w:lineRule="auto"/>
        <w:rPr>
          <w:sz w:val="20"/>
          <w:szCs w:val="20"/>
          <w:color w:val="auto"/>
        </w:rPr>
      </w:pPr>
      <w:r>
        <w:rPr>
          <w:rFonts w:ascii="Arial" w:cs="Arial" w:eastAsia="Arial" w:hAnsi="Arial"/>
          <w:sz w:val="16"/>
          <w:szCs w:val="16"/>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57" w:lineRule="exact"/>
        <w:rPr>
          <w:sz w:val="20"/>
          <w:szCs w:val="20"/>
          <w:color w:val="auto"/>
        </w:rPr>
      </w:pPr>
    </w:p>
    <w:p>
      <w:pPr>
        <w:ind w:left="840" w:hanging="19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sz w:val="20"/>
          <w:szCs w:val="20"/>
          <w:color w:val="auto"/>
        </w:rPr>
      </w:pPr>
    </w:p>
    <w:p>
      <w:pPr>
        <w:jc w:val="both"/>
        <w:ind w:left="960" w:hanging="316"/>
        <w:spacing w:after="0" w:line="283"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Delivery of Preferred Investment Option Shares Upon Exercise</w:t>
      </w:r>
      <w:r>
        <w:rPr>
          <w:rFonts w:ascii="Arial" w:cs="Arial" w:eastAsia="Arial" w:hAnsi="Arial"/>
          <w:sz w:val="16"/>
          <w:szCs w:val="16"/>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Preferred Investment Option Share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both"/>
        <w:ind w:left="960" w:hanging="316"/>
        <w:spacing w:after="0" w:line="296"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Delivery of New Preferred Investment Options Upon Exercise</w:t>
      </w:r>
      <w:r>
        <w:rPr>
          <w:rFonts w:ascii="Arial" w:cs="Arial" w:eastAsia="Arial" w:hAnsi="Arial"/>
          <w:sz w:val="16"/>
          <w:szCs w:val="16"/>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61" w:lineRule="exact"/>
        <w:rPr>
          <w:rFonts w:ascii="Arial" w:cs="Arial" w:eastAsia="Arial" w:hAnsi="Arial"/>
          <w:sz w:val="16"/>
          <w:szCs w:val="16"/>
          <w:color w:val="auto"/>
        </w:rPr>
      </w:pPr>
    </w:p>
    <w:p>
      <w:pPr>
        <w:jc w:val="both"/>
        <w:ind w:left="960" w:hanging="316"/>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25" w:name="page26"/>
    <w:bookmarkEnd w:id="25"/>
    <w:p>
      <w:pPr>
        <w:jc w:val="both"/>
        <w:ind w:left="500" w:hanging="316"/>
        <w:spacing w:after="0" w:line="284"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Preferred Investment Option Shares Upon Exercise</w:t>
      </w:r>
      <w:r>
        <w:rPr>
          <w:rFonts w:ascii="Arial" w:cs="Arial" w:eastAsia="Arial" w:hAnsi="Arial"/>
          <w:sz w:val="16"/>
          <w:szCs w:val="16"/>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397" w:lineRule="exact"/>
        <w:rPr>
          <w:rFonts w:ascii="Arial" w:cs="Arial" w:eastAsia="Arial" w:hAnsi="Arial"/>
          <w:sz w:val="16"/>
          <w:szCs w:val="16"/>
          <w:color w:val="auto"/>
        </w:rPr>
      </w:pPr>
    </w:p>
    <w:p>
      <w:pPr>
        <w:jc w:val="both"/>
        <w:ind w:left="500" w:hanging="316"/>
        <w:spacing w:after="0" w:line="25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6" w:lineRule="exact"/>
        <w:rPr>
          <w:rFonts w:ascii="Arial" w:cs="Arial" w:eastAsia="Arial" w:hAnsi="Arial"/>
          <w:sz w:val="18"/>
          <w:szCs w:val="18"/>
          <w:color w:val="auto"/>
        </w:rPr>
      </w:pPr>
    </w:p>
    <w:p>
      <w:pPr>
        <w:jc w:val="both"/>
        <w:ind w:left="500" w:hanging="316"/>
        <w:spacing w:after="0" w:line="269"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85" w:lineRule="exact"/>
        <w:rPr>
          <w:rFonts w:ascii="Arial" w:cs="Arial" w:eastAsia="Arial" w:hAnsi="Arial"/>
          <w:sz w:val="17"/>
          <w:szCs w:val="17"/>
          <w:color w:val="auto"/>
        </w:rPr>
      </w:pPr>
    </w:p>
    <w:p>
      <w:pPr>
        <w:ind w:left="500" w:hanging="316"/>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Preferred Investment Option, pursuant to the terms hereof.</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6" w:name="page27"/>
    <w:bookmarkEnd w:id="26"/>
    <w:p>
      <w:pPr>
        <w:jc w:val="both"/>
        <w:ind w:firstLine="644"/>
        <w:spacing w:after="0" w:line="282" w:lineRule="auto"/>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of this Section 2(e) shall continue to apply. Any increase in the Beneficial Ownership Limitation will 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7" w:lineRule="auto"/>
        <w:tabs>
          <w:tab w:leader="none" w:pos="86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7" w:lineRule="exact"/>
        <w:rPr>
          <w:rFonts w:ascii="Arial" w:cs="Arial" w:eastAsia="Arial" w:hAnsi="Arial"/>
          <w:sz w:val="16"/>
          <w:szCs w:val="16"/>
          <w:color w:val="auto"/>
        </w:rPr>
      </w:pPr>
    </w:p>
    <w:p>
      <w:pPr>
        <w:jc w:val="both"/>
        <w:ind w:firstLine="644"/>
        <w:spacing w:after="0" w:line="269" w:lineRule="auto"/>
        <w:tabs>
          <w:tab w:leader="none" w:pos="84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jc w:val="both"/>
        <w:ind w:firstLine="644"/>
        <w:spacing w:after="0" w:line="286" w:lineRule="auto"/>
        <w:tabs>
          <w:tab w:leader="none" w:pos="83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28" w:name="page29"/>
    <w:bookmarkEnd w:id="28"/>
    <w:p>
      <w:pPr>
        <w:jc w:val="both"/>
        <w:ind w:left="-460" w:firstLine="644"/>
        <w:spacing w:after="0" w:line="282" w:lineRule="auto"/>
        <w:tabs>
          <w:tab w:leader="none" w:pos="38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jc w:val="both"/>
        <w:ind w:left="-460" w:firstLine="644"/>
        <w:spacing w:after="0" w:line="286" w:lineRule="auto"/>
        <w:tabs>
          <w:tab w:leader="none" w:pos="38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ectPr>
          <w:pgSz w:w="11900" w:h="16838" w:orient="portrait"/>
          <w:cols w:equalWidth="0" w:num="1">
            <w:col w:w="10120"/>
          </w:cols>
          <w:pgMar w:left="1440" w:top="665" w:right="33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340" w:hanging="156"/>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00" w:firstLine="332"/>
        <w:spacing w:after="0" w:line="259" w:lineRule="auto"/>
        <w:tabs>
          <w:tab w:leader="none" w:pos="989"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500" w:firstLine="332"/>
        <w:spacing w:after="0" w:line="285" w:lineRule="auto"/>
        <w:tabs>
          <w:tab w:leader="none" w:pos="1017"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Arial" w:cs="Arial" w:eastAsia="Arial" w:hAnsi="Arial"/>
          <w:sz w:val="16"/>
          <w:szCs w:val="16"/>
          <w:u w:val="single" w:color="auto"/>
          <w:color w:val="auto"/>
        </w:rPr>
        <w:t>Section 3(f)(ii)</w:t>
      </w:r>
      <w:r>
        <w:rPr>
          <w:rFonts w:ascii="Arial" w:cs="Arial" w:eastAsia="Arial" w:hAnsi="Arial"/>
          <w:sz w:val="16"/>
          <w:szCs w:val="16"/>
          <w:color w:val="auto"/>
        </w:rPr>
        <w:t xml:space="preserve"> in confidence until such information is publicly available, and shall comply with applicable law with respect to trading in the Company’s securities following receipt any such information.</w:t>
      </w:r>
    </w:p>
    <w:p>
      <w:pPr>
        <w:spacing w:after="0" w:line="168" w:lineRule="exact"/>
        <w:rPr>
          <w:rFonts w:ascii="Arial" w:cs="Arial" w:eastAsia="Arial" w:hAnsi="Arial"/>
          <w:sz w:val="16"/>
          <w:szCs w:val="16"/>
          <w:color w:val="auto"/>
        </w:rPr>
      </w:pPr>
    </w:p>
    <w:p>
      <w:pPr>
        <w:jc w:val="both"/>
        <w:ind w:left="-460" w:firstLine="644"/>
        <w:spacing w:after="0" w:line="263" w:lineRule="auto"/>
        <w:tabs>
          <w:tab w:leader="none" w:pos="38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Preferred Investment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6" w:lineRule="auto"/>
        <w:tabs>
          <w:tab w:leader="none" w:pos="83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70" w:lineRule="exact"/>
        <w:rPr>
          <w:rFonts w:ascii="Arial" w:cs="Arial" w:eastAsia="Arial" w:hAnsi="Arial"/>
          <w:sz w:val="16"/>
          <w:szCs w:val="16"/>
          <w:color w:val="auto"/>
        </w:rPr>
      </w:pPr>
    </w:p>
    <w:p>
      <w:pPr>
        <w:jc w:val="both"/>
        <w:ind w:firstLine="644"/>
        <w:spacing w:after="0" w:line="271" w:lineRule="auto"/>
        <w:tabs>
          <w:tab w:leader="none" w:pos="85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New Preferred Investment Options</w:t>
      </w:r>
      <w:r>
        <w:rPr>
          <w:rFonts w:ascii="Arial" w:cs="Arial" w:eastAsia="Arial" w:hAnsi="Arial"/>
          <w:sz w:val="17"/>
          <w:szCs w:val="17"/>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78" w:lineRule="exact"/>
        <w:rPr>
          <w:rFonts w:ascii="Arial" w:cs="Arial" w:eastAsia="Arial" w:hAnsi="Arial"/>
          <w:sz w:val="17"/>
          <w:szCs w:val="17"/>
          <w:color w:val="auto"/>
        </w:rPr>
      </w:pPr>
    </w:p>
    <w:p>
      <w:pPr>
        <w:jc w:val="both"/>
        <w:ind w:firstLine="644"/>
        <w:spacing w:after="0" w:line="279" w:lineRule="auto"/>
        <w:tabs>
          <w:tab w:leader="none" w:pos="83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The Company shall register this Preferred Investment Option, upon records to be maintained by the Company for that purpose (the “</w:t>
      </w: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32" w:name="page33"/>
    <w:bookmarkEnd w:id="32"/>
    <w:p>
      <w:pPr>
        <w:jc w:val="both"/>
        <w:ind w:firstLine="644"/>
        <w:spacing w:after="0" w:line="255" w:lineRule="auto"/>
        <w:tabs>
          <w:tab w:leader="none" w:pos="86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92" w:lineRule="exact"/>
        <w:rPr>
          <w:rFonts w:ascii="Arial" w:cs="Arial" w:eastAsia="Arial" w:hAnsi="Arial"/>
          <w:sz w:val="18"/>
          <w:szCs w:val="18"/>
          <w:color w:val="auto"/>
        </w:rPr>
      </w:pPr>
    </w:p>
    <w:p>
      <w:pPr>
        <w:jc w:val="both"/>
        <w:ind w:firstLine="644"/>
        <w:spacing w:after="0" w:line="287" w:lineRule="auto"/>
        <w:tabs>
          <w:tab w:leader="none" w:pos="83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Representation by the Holder</w:t>
      </w:r>
      <w:r>
        <w:rPr>
          <w:rFonts w:ascii="Arial" w:cs="Arial" w:eastAsia="Arial" w:hAnsi="Arial"/>
          <w:sz w:val="16"/>
          <w:szCs w:val="16"/>
          <w:color w:val="auto"/>
        </w:rPr>
        <w:t>. The Holder, by the acceptance hereof, understands that the Preferred Investment Options are “restricted securities” and have not been registered under the Securities Act of 1933, as amended, or any applicable state securities law, and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 and has no direct or indirect arrangement or understandings with any other persons to distribute or regarding the distribution of such Preferred Investment Option. At the time the Holder was offered this Preferred Investment Option, it was, and as of the date hereof it is, and on each date on which it exercises this Preferred Investment Option, it will be an “accredited investor” as defined in Rule 501(a) under the Securities Act. The Holder, either alone or together with its representatives, has such knowledge, sophistication and experience in business and financial matters so as to be capable of evaluating the merits and risks of the prospective investment in the Preferred Investment Option, and has so evaluated the merits and risks of such investment. The Holder is able to bear the economic risk of an investment in the Preferred Investment Option and, at the present time, is able to afford a complete loss of such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7" w:lineRule="exact"/>
        <w:rPr>
          <w:rFonts w:ascii="Arial" w:cs="Arial" w:eastAsia="Arial" w:hAnsi="Arial"/>
          <w:sz w:val="18"/>
          <w:szCs w:val="18"/>
          <w:color w:val="auto"/>
        </w:rPr>
      </w:pPr>
    </w:p>
    <w:p>
      <w:pPr>
        <w:jc w:val="both"/>
        <w:ind w:firstLine="644"/>
        <w:spacing w:after="0" w:line="273" w:lineRule="auto"/>
        <w:tabs>
          <w:tab w:leader="none" w:pos="85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Preferred Investment Option</w:t>
      </w:r>
      <w:r>
        <w:rPr>
          <w:rFonts w:ascii="Arial" w:cs="Arial" w:eastAsia="Arial" w:hAnsi="Arial"/>
          <w:sz w:val="17"/>
          <w:szCs w:val="17"/>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33" w:name="page34"/>
    <w:bookmarkEnd w:id="33"/>
    <w:p>
      <w:pPr>
        <w:ind w:left="-460" w:firstLine="644"/>
        <w:spacing w:after="0" w:line="342" w:lineRule="auto"/>
        <w:tabs>
          <w:tab w:leader="none" w:pos="38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60" w:hanging="176"/>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87" w:lineRule="auto"/>
        <w:rPr>
          <w:sz w:val="20"/>
          <w:szCs w:val="20"/>
          <w:color w:val="auto"/>
        </w:rPr>
      </w:pPr>
      <w:r>
        <w:rPr>
          <w:rFonts w:ascii="Arial" w:cs="Arial" w:eastAsia="Arial" w:hAnsi="Arial"/>
          <w:sz w:val="16"/>
          <w:szCs w:val="16"/>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8"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34" w:name="page35"/>
    <w:bookmarkEnd w:id="34"/>
    <w:p>
      <w:pPr>
        <w:jc w:val="both"/>
        <w:ind w:left="180" w:firstLine="648"/>
        <w:spacing w:after="0" w:line="286" w:lineRule="auto"/>
        <w:rPr>
          <w:sz w:val="20"/>
          <w:szCs w:val="20"/>
          <w:color w:val="auto"/>
        </w:rPr>
      </w:pPr>
      <w:r>
        <w:rPr>
          <w:rFonts w:ascii="Arial" w:cs="Arial" w:eastAsia="Arial" w:hAnsi="Arial"/>
          <w:sz w:val="17"/>
          <w:szCs w:val="17"/>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65" w:lineRule="exact"/>
        <w:rPr>
          <w:sz w:val="20"/>
          <w:szCs w:val="20"/>
          <w:color w:val="auto"/>
        </w:rPr>
      </w:pPr>
    </w:p>
    <w:p>
      <w:pPr>
        <w:ind w:left="-460" w:firstLine="644"/>
        <w:spacing w:after="0" w:line="277" w:lineRule="auto"/>
        <w:tabs>
          <w:tab w:leader="none" w:pos="39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38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83" w:lineRule="exact"/>
        <w:rPr>
          <w:rFonts w:ascii="Arial" w:cs="Arial" w:eastAsia="Arial" w:hAnsi="Arial"/>
          <w:sz w:val="18"/>
          <w:szCs w:val="18"/>
          <w:color w:val="auto"/>
        </w:rPr>
      </w:pPr>
    </w:p>
    <w:p>
      <w:pPr>
        <w:jc w:val="both"/>
        <w:ind w:left="-460" w:firstLine="644"/>
        <w:spacing w:after="0" w:line="293" w:lineRule="auto"/>
        <w:tabs>
          <w:tab w:leader="none" w:pos="40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4" w:lineRule="exact"/>
        <w:rPr>
          <w:rFonts w:ascii="Arial" w:cs="Arial" w:eastAsia="Arial" w:hAnsi="Arial"/>
          <w:sz w:val="16"/>
          <w:szCs w:val="16"/>
          <w:color w:val="auto"/>
        </w:rPr>
      </w:pPr>
    </w:p>
    <w:p>
      <w:pPr>
        <w:ind w:left="-460" w:firstLine="644"/>
        <w:spacing w:after="0" w:line="277" w:lineRule="auto"/>
        <w:tabs>
          <w:tab w:leader="none" w:pos="39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to the address of the Holder in the Warrant Register.</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38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460" w:firstLine="644"/>
        <w:spacing w:after="0" w:line="279" w:lineRule="auto"/>
        <w:tabs>
          <w:tab w:leader="none" w:pos="34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35" w:name="page36"/>
    <w:bookmarkEnd w:id="35"/>
    <w:p>
      <w:pPr>
        <w:jc w:val="both"/>
        <w:ind w:firstLine="644"/>
        <w:spacing w:after="0" w:line="301" w:lineRule="auto"/>
        <w:tabs>
          <w:tab w:leader="none" w:pos="88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57" w:lineRule="exact"/>
        <w:rPr>
          <w:rFonts w:ascii="Arial" w:cs="Arial" w:eastAsia="Arial" w:hAnsi="Arial"/>
          <w:sz w:val="16"/>
          <w:szCs w:val="16"/>
          <w:color w:val="auto"/>
        </w:rPr>
      </w:pPr>
    </w:p>
    <w:p>
      <w:pPr>
        <w:ind w:firstLine="644"/>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Preferred Investment Option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firstLine="644"/>
        <w:spacing w:after="0" w:line="259" w:lineRule="auto"/>
        <w:tabs>
          <w:tab w:leader="none" w:pos="919"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86" w:lineRule="exact"/>
        <w:rPr>
          <w:rFonts w:ascii="Arial" w:cs="Arial" w:eastAsia="Arial" w:hAnsi="Arial"/>
          <w:sz w:val="18"/>
          <w:szCs w:val="18"/>
          <w:color w:val="auto"/>
        </w:rPr>
      </w:pPr>
    </w:p>
    <w:p>
      <w:pPr>
        <w:ind w:firstLine="644"/>
        <w:spacing w:after="0" w:line="277" w:lineRule="auto"/>
        <w:tabs>
          <w:tab w:leader="none" w:pos="86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Preferred Investment Option are for the convenience of reference only and shall not, for any purpose, be deemed a part of this Preferred Investment Option.</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36" w:name="page37"/>
    <w:bookmarkEnd w:id="36"/>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Preferred Investment Option to be executed by its officer thereunto duly authorized as of the date first above indicated.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MICROBOT MEDICAL INC.</w:t>
      </w:r>
    </w:p>
    <w:p>
      <w:pPr>
        <w:spacing w:after="0" w:line="229" w:lineRule="exact"/>
        <w:rPr>
          <w:sz w:val="20"/>
          <w:szCs w:val="20"/>
          <w:color w:val="auto"/>
        </w:rPr>
      </w:pPr>
    </w:p>
    <w:p>
      <w:pPr>
        <w:jc w:val="both"/>
        <w:ind w:firstLine="1304"/>
        <w:spacing w:after="0" w:line="263" w:lineRule="auto"/>
        <w:tabs>
          <w:tab w:leader="none" w:pos="1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hanging="8"/>
        <w:spacing w:after="0" w:line="311" w:lineRule="auto"/>
        <w:tabs>
          <w:tab w:leader="none" w:pos="2178" w:val="left"/>
        </w:tabs>
        <w:numPr>
          <w:ilvl w:val="1"/>
          <w:numId w:val="33"/>
        </w:numPr>
        <w:rPr>
          <w:rFonts w:ascii="Arial" w:cs="Arial" w:eastAsia="Arial" w:hAnsi="Arial"/>
          <w:sz w:val="16"/>
          <w:szCs w:val="16"/>
          <w:color w:val="auto"/>
        </w:rPr>
      </w:pPr>
      <w:r>
        <w:rPr>
          <w:rFonts w:ascii="Arial" w:cs="Arial" w:eastAsia="Arial" w:hAnsi="Arial"/>
          <w:sz w:val="16"/>
          <w:szCs w:val="16"/>
          <w:color w:val="auto"/>
        </w:rPr>
        <w:t>]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Please issue said Preferred Investment Option Shares in the name of the undersigned or in such other name as is specified below:</w:t>
      </w:r>
    </w:p>
    <w:p>
      <w:pPr>
        <w:spacing w:after="0" w:line="248"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Preferred Investment Option Shares shall be delivered to the following DWAC Account Number: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left="1030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firstLine="189"/>
        <w:spacing w:after="0" w:line="277" w:lineRule="auto"/>
        <w:rPr>
          <w:sz w:val="20"/>
          <w:szCs w:val="20"/>
          <w:color w:val="auto"/>
        </w:rPr>
      </w:pPr>
      <w:r>
        <w:rPr>
          <w:rFonts w:ascii="Arial" w:cs="Arial" w:eastAsia="Arial" w:hAnsi="Arial"/>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-121920</wp:posOffset>
            </wp:positionV>
            <wp:extent cx="728980" cy="916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9169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www.mintz.com</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May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acted as counsel to Microbot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Prospectus Supplement, dated May 23, 2023, to a Prospectus, dated December 4, 2020 (the “</w:t>
      </w:r>
      <w:r>
        <w:rPr>
          <w:rFonts w:ascii="Arial" w:cs="Arial" w:eastAsia="Arial" w:hAnsi="Arial"/>
          <w:sz w:val="16"/>
          <w:szCs w:val="16"/>
          <w:u w:val="single" w:color="auto"/>
          <w:color w:val="auto"/>
        </w:rPr>
        <w:t>Prospectus and Prospectus Supplement</w:t>
      </w:r>
      <w:r>
        <w:rPr>
          <w:rFonts w:ascii="Arial" w:cs="Arial" w:eastAsia="Arial" w:hAnsi="Arial"/>
          <w:sz w:val="16"/>
          <w:szCs w:val="16"/>
          <w:color w:val="auto"/>
        </w:rPr>
        <w:t>”), filed pursuant to a Registration Statement on Form S-3, Registration No. 333-250966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and filed by the Company with the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Prospectus Supplement relates to the sale of (a) 975,000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52" w:lineRule="auto"/>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pre-funded warrants (the “</w:t>
      </w:r>
      <w:r>
        <w:rPr>
          <w:rFonts w:ascii="Arial" w:cs="Arial" w:eastAsia="Arial" w:hAnsi="Arial"/>
          <w:sz w:val="18"/>
          <w:szCs w:val="18"/>
          <w:u w:val="single" w:color="auto"/>
          <w:color w:val="auto"/>
        </w:rPr>
        <w:t>Pre-Funded Warrants</w:t>
      </w:r>
      <w:r>
        <w:rPr>
          <w:rFonts w:ascii="Arial" w:cs="Arial" w:eastAsia="Arial" w:hAnsi="Arial"/>
          <w:sz w:val="18"/>
          <w:szCs w:val="18"/>
          <w:color w:val="auto"/>
        </w:rPr>
        <w:t>”) to purchase up to 234,500 shares of Common Stock (the “</w:t>
      </w:r>
      <w:r>
        <w:rPr>
          <w:rFonts w:ascii="Arial" w:cs="Arial" w:eastAsia="Arial" w:hAnsi="Arial"/>
          <w:sz w:val="18"/>
          <w:szCs w:val="18"/>
          <w:u w:val="single" w:color="auto"/>
          <w:color w:val="auto"/>
        </w:rPr>
        <w:t>Warrant Shares</w:t>
      </w:r>
      <w:r>
        <w:rPr>
          <w:rFonts w:ascii="Arial" w:cs="Arial" w:eastAsia="Arial" w:hAnsi="Arial"/>
          <w:sz w:val="18"/>
          <w:szCs w:val="18"/>
          <w:color w:val="auto"/>
        </w:rPr>
        <w:t>” and collectively with the Shares and Pre-Funded Warrants, the “</w:t>
      </w:r>
      <w:r>
        <w:rPr>
          <w:rFonts w:ascii="Arial" w:cs="Arial" w:eastAsia="Arial" w:hAnsi="Arial"/>
          <w:sz w:val="18"/>
          <w:szCs w:val="18"/>
          <w:u w:val="single" w:color="auto"/>
          <w:color w:val="auto"/>
        </w:rPr>
        <w:t>Securities</w:t>
      </w:r>
      <w:r>
        <w:rPr>
          <w:rFonts w:ascii="Arial" w:cs="Arial" w:eastAsia="Arial" w:hAnsi="Arial"/>
          <w:sz w:val="18"/>
          <w:szCs w:val="18"/>
          <w:color w:val="auto"/>
        </w:rPr>
        <w:t>”), pursuant to a Securities Purchase Agreement, dated May 23, 2023, between the Company and the purchasers named therein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this opinion, we have (i) examined and relied upon: (A) the Registration Statement, the Prospectus and the Prospectus Supplement, (B) the form of Pre-Funded Warrant to be filed as an exhibit to the Registration Statement, (C) the Company’s Restated Certificate of Incorporation and Amended and Restated Bylaws, as currently in effect, and (D)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opinion is limited to the General Corporation Law of the State of Delaware and, as to the Pre-Funded Warrants constituting valid and binding obligations of the Company, the laws of the State of New York, and we express no opinion with respect to the laws of any other jurisdiction. No opinion is expressed herein with respect to the qualification of the Shares under the securities or blue sky laws of any state or any foreign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With regard to our opinion concerning the Pre-Funded Warrants constituting valid and binding obligations of the Company:</w:t>
      </w:r>
    </w:p>
    <w:p>
      <w:pPr>
        <w:spacing w:after="0" w:line="225" w:lineRule="exact"/>
        <w:rPr>
          <w:sz w:val="20"/>
          <w:szCs w:val="20"/>
          <w:color w:val="auto"/>
        </w:rPr>
      </w:pPr>
    </w:p>
    <w:p>
      <w:pPr>
        <w:jc w:val="both"/>
        <w:ind w:left="500" w:hanging="6"/>
        <w:spacing w:after="0" w:line="311"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48" w:lineRule="exact"/>
        <w:rPr>
          <w:rFonts w:ascii="Arial" w:cs="Arial" w:eastAsia="Arial" w:hAnsi="Arial"/>
          <w:sz w:val="16"/>
          <w:szCs w:val="16"/>
          <w:color w:val="auto"/>
        </w:rPr>
      </w:pPr>
    </w:p>
    <w:p>
      <w:pPr>
        <w:ind w:left="500" w:hanging="6"/>
        <w:spacing w:after="0" w:line="277" w:lineRule="auto"/>
        <w:tabs>
          <w:tab w:leader="none" w:pos="7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70" w:lineRule="exact"/>
        <w:rPr>
          <w:rFonts w:ascii="Arial" w:cs="Arial" w:eastAsia="Arial" w:hAnsi="Arial"/>
          <w:sz w:val="18"/>
          <w:szCs w:val="18"/>
          <w:color w:val="auto"/>
        </w:rPr>
      </w:pPr>
    </w:p>
    <w:p>
      <w:pPr>
        <w:jc w:val="both"/>
        <w:ind w:left="500" w:hanging="6"/>
        <w:spacing w:after="0" w:line="285" w:lineRule="auto"/>
        <w:tabs>
          <w:tab w:leader="none" w:pos="83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express no opinion as to any provision of the Pre-Funded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or</w:t>
      </w:r>
    </w:p>
    <w:p>
      <w:pPr>
        <w:spacing w:after="0" w:line="1" w:lineRule="exact"/>
        <w:rPr>
          <w:rFonts w:ascii="Arial" w:cs="Arial" w:eastAsia="Arial" w:hAnsi="Arial"/>
          <w:sz w:val="16"/>
          <w:szCs w:val="16"/>
          <w:color w:val="auto"/>
        </w:rPr>
      </w:pPr>
    </w:p>
    <w:p>
      <w:pPr>
        <w:ind w:left="500"/>
        <w:spacing w:after="0" w:line="260" w:lineRule="auto"/>
        <w:rPr>
          <w:rFonts w:ascii="Arial" w:cs="Arial" w:eastAsia="Arial" w:hAnsi="Arial"/>
          <w:sz w:val="16"/>
          <w:szCs w:val="16"/>
          <w:color w:val="auto"/>
        </w:rPr>
      </w:pPr>
      <w:r>
        <w:rPr>
          <w:rFonts w:ascii="Arial" w:cs="Arial" w:eastAsia="Arial" w:hAnsi="Arial"/>
          <w:sz w:val="18"/>
          <w:szCs w:val="18"/>
          <w:color w:val="auto"/>
        </w:rPr>
        <w:t>(f) provides that provisions of the Pre-Funded Warrants are severable to the extent an essential part of the agreed exchange is determined to be invalid and unenforceable.</w:t>
      </w:r>
    </w:p>
    <w:p>
      <w:pPr>
        <w:spacing w:after="0" w:line="185" w:lineRule="exact"/>
        <w:rPr>
          <w:rFonts w:ascii="Arial" w:cs="Arial" w:eastAsia="Arial" w:hAnsi="Arial"/>
          <w:sz w:val="16"/>
          <w:szCs w:val="16"/>
          <w:color w:val="auto"/>
        </w:rPr>
      </w:pPr>
    </w:p>
    <w:p>
      <w:pPr>
        <w:ind w:left="500" w:hanging="6"/>
        <w:spacing w:after="0" w:line="277" w:lineRule="auto"/>
        <w:tabs>
          <w:tab w:leader="none" w:pos="8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express no opinion as to whether a state court outside of the State of New York or a federal court of the United States would give effect to the choice of New York law provided for in the Pre-Funded Warrants.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the Warrant Shares, we express no opinion to the extent that, notwithstanding its current reservation of shares of Common Stock, future issuances of securities, including the Warrant Shares, of the Company and/or adjustments to outstanding securities, including the Pre-Funded Warrants, of the Company may cause the Pre-Funded Warrants to be exercisable for more shares of Common Stock than the number that remain authorized but unissued. Further, we have assumed the Exercise Price (as defined in the Pre-Funded Warrants) will not be adjusted to an amount below the par value per share of the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basis of the foregoing, and in reliance thereon, we are of the opinion that (i) the Shares, when sold and issued in accordance with the Registration Statement, the Prospectus and the Prospectus Supplement, will be validly issued, fully paid and nonassessable, (ii) provided that the Pre-Funded Warrants have been duly executed and delivered by the Company and duly delivered to the purchasers thereof against payment therefor, the Pre-Funded Warrants, when sold and issued as contemplated in the Registration Statement, the Prospectus and the Prospectus Supplement, will be valid and binding obligations of the Company, and (iii) the Warrant Shares, when issued and paid for in accordance with the terms of the Pre-Funded Warrants, will be validly issued, fully paid and non-assessable.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May 23, 2023, between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w:t>
      </w:r>
    </w:p>
    <w:p>
      <w:pPr>
        <w:jc w:val="both"/>
        <w:ind w:left="660"/>
        <w:spacing w:after="0" w:line="211" w:lineRule="auto"/>
        <w:rPr>
          <w:sz w:val="20"/>
          <w:szCs w:val="20"/>
          <w:color w:val="auto"/>
        </w:rPr>
      </w:pPr>
      <w:r>
        <w:rPr>
          <w:rFonts w:ascii="Arial" w:cs="Arial" w:eastAsia="Arial" w:hAnsi="Arial"/>
          <w:sz w:val="18"/>
          <w:szCs w:val="18"/>
          <w:color w:val="auto"/>
        </w:rPr>
        <w:t>deliver the Securities, in each case, have been satisfied or waived, but in no event later than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hereof.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with offices located at One Financial Center, Boston, MA 02111.</w:t>
      </w:r>
    </w:p>
    <w:p>
      <w:pPr>
        <w:spacing w:after="0" w:line="170"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EGS</w:t>
      </w:r>
      <w:r>
        <w:rPr>
          <w:rFonts w:ascii="Arial" w:cs="Arial" w:eastAsia="Arial" w:hAnsi="Arial"/>
          <w:sz w:val="16"/>
          <w:szCs w:val="16"/>
          <w:color w:val="auto"/>
        </w:rPr>
        <w:t>” means Ellenoff Grossman &amp; Schole LLP, with offices located at 1345 Avenue of the Americas, New York, New York 10105-0302.</w:t>
      </w: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left="4"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(other than with respect to the Warrant Amendment (as such term is defined below))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w:t>
      </w:r>
    </w:p>
    <w:p>
      <w:pPr>
        <w:ind w:left="4924" w:right="1400" w:hanging="4924"/>
        <w:spacing w:after="0" w:line="511" w:lineRule="auto"/>
        <w:tabs>
          <w:tab w:leader="none" w:pos="2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issued pursuant to an amendment to certain existing warrants held by the Purchasers (the “</w:t>
      </w:r>
      <w:r>
        <w:rPr>
          <w:rFonts w:ascii="Arial" w:cs="Arial" w:eastAsia="Arial" w:hAnsi="Arial"/>
          <w:sz w:val="18"/>
          <w:szCs w:val="18"/>
          <w:u w:val="single" w:color="auto"/>
          <w:color w:val="auto"/>
        </w:rPr>
        <w:t>Warrant Amendment</w:t>
      </w:r>
      <w:r>
        <w:rPr>
          <w:rFonts w:ascii="Arial" w:cs="Arial" w:eastAsia="Arial" w:hAnsi="Arial"/>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-147320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43" w:name="page44"/>
    <w:bookmarkEnd w:id="4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equals $2.20 (less $0.0001 for each Pre-Funded Warrant), subject to adjustment for reverse and forward stock splits, stock dividends, stock combinations and other similar transactions of the Common Stock that occur after the date of this Agreement.</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44" w:name="page45"/>
    <w:bookmarkEnd w:id="44"/>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333-250966 which registers the sale of the Shares and Pre-Funded Warrants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Pre-Funded Warrants and the Pre-Funded Warrant Shares.</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45" w:name="page46"/>
    <w:bookmarkEnd w:id="4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Subscription Amount</w:t>
      </w:r>
      <w:r>
        <w:rPr>
          <w:rFonts w:ascii="Arial" w:cs="Arial" w:eastAsia="Arial" w:hAnsi="Arial"/>
          <w:sz w:val="17"/>
          <w:szCs w:val="17"/>
          <w:color w:val="auto"/>
        </w:rPr>
        <w:t>” means, as to each Purchaser, the aggregate amount to be paid for Shares and Pre-Funded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Pre-Funded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$2,660,900 of Shares.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and Pre-Funded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Arial" w:cs="Arial" w:eastAsia="Arial" w:hAnsi="Arial"/>
          <w:sz w:val="16"/>
          <w:szCs w:val="16"/>
          <w:u w:val="single" w:color="auto"/>
          <w:color w:val="auto"/>
        </w:rPr>
        <w:t>Pre-Settlement Period</w:t>
      </w:r>
      <w:r>
        <w:rPr>
          <w:rFonts w:ascii="Arial" w:cs="Arial" w:eastAsia="Arial" w:hAnsi="Arial"/>
          <w:sz w:val="16"/>
          <w:szCs w:val="16"/>
          <w:color w:val="auto"/>
        </w:rPr>
        <w:t>”), such Purchaser sells to any Person all, or any portion, of the Shares to be issued hereunder to such Purchaser at the Closing (collectively, the “</w:t>
      </w:r>
      <w:r>
        <w:rPr>
          <w:rFonts w:ascii="Arial" w:cs="Arial" w:eastAsia="Arial" w:hAnsi="Arial"/>
          <w:sz w:val="16"/>
          <w:szCs w:val="16"/>
          <w:u w:val="single" w:color="auto"/>
          <w:color w:val="auto"/>
        </w:rPr>
        <w:t>Pre-Settlement Shares</w:t>
      </w:r>
      <w:r>
        <w:rPr>
          <w:rFonts w:ascii="Arial" w:cs="Arial" w:eastAsia="Arial" w:hAnsi="Arial"/>
          <w:sz w:val="16"/>
          <w:szCs w:val="16"/>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300" w:firstLine="328"/>
        <w:spacing w:after="0" w:line="277" w:lineRule="auto"/>
        <w:tabs>
          <w:tab w:leader="none" w:pos="184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legal opinion of Company Counsel, directed to the Placement Agent and the Purchasers, in a form reasonably acceptable to the Placement Agent and Purchasers;</w:t>
      </w:r>
    </w:p>
    <w:p>
      <w:pPr>
        <w:spacing w:after="0" w:line="170" w:lineRule="exact"/>
        <w:rPr>
          <w:rFonts w:ascii="Arial" w:cs="Arial" w:eastAsia="Arial" w:hAnsi="Arial"/>
          <w:sz w:val="18"/>
          <w:szCs w:val="18"/>
          <w:color w:val="auto"/>
        </w:rPr>
      </w:pPr>
    </w:p>
    <w:p>
      <w:pPr>
        <w:ind w:left="1900" w:hanging="272"/>
        <w:spacing w:after="0"/>
        <w:tabs>
          <w:tab w:leader="none" w:pos="1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subject to Section 2.1, the Company shall have provided each Purchaser with the Company’s wire instructions;</w:t>
      </w:r>
    </w:p>
    <w:p>
      <w:pPr>
        <w:spacing w:after="0" w:line="225" w:lineRule="exact"/>
        <w:rPr>
          <w:rFonts w:ascii="Arial" w:cs="Arial" w:eastAsia="Arial" w:hAnsi="Arial"/>
          <w:sz w:val="18"/>
          <w:szCs w:val="18"/>
          <w:color w:val="auto"/>
        </w:rPr>
      </w:pPr>
    </w:p>
    <w:p>
      <w:pPr>
        <w:jc w:val="both"/>
        <w:ind w:left="1300" w:firstLine="328"/>
        <w:spacing w:after="0" w:line="286" w:lineRule="auto"/>
        <w:tabs>
          <w:tab w:leader="none" w:pos="1941" w:val="left"/>
        </w:tabs>
        <w:numPr>
          <w:ilvl w:val="1"/>
          <w:numId w:val="38"/>
        </w:numPr>
        <w:rPr>
          <w:rFonts w:ascii="Arial" w:cs="Arial" w:eastAsia="Arial" w:hAnsi="Arial"/>
          <w:sz w:val="17"/>
          <w:szCs w:val="17"/>
          <w:color w:val="auto"/>
        </w:rPr>
      </w:pPr>
      <w:r>
        <w:rPr>
          <w:rFonts w:ascii="Arial" w:cs="Arial" w:eastAsia="Arial" w:hAnsi="Arial"/>
          <w:sz w:val="17"/>
          <w:szCs w:val="17"/>
          <w:color w:val="auto"/>
        </w:rPr>
        <w:t>subject to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Shares equal to such Purchaser’s Subscription Amount divided by the Per Share Purchase Price, registered in the name of such Purchaser;</w:t>
      </w:r>
    </w:p>
    <w:p>
      <w:pPr>
        <w:spacing w:after="0" w:line="165" w:lineRule="exact"/>
        <w:rPr>
          <w:rFonts w:ascii="Arial" w:cs="Arial" w:eastAsia="Arial" w:hAnsi="Arial"/>
          <w:sz w:val="17"/>
          <w:szCs w:val="17"/>
          <w:color w:val="auto"/>
        </w:rPr>
      </w:pPr>
    </w:p>
    <w:p>
      <w:pPr>
        <w:jc w:val="both"/>
        <w:ind w:left="1300" w:firstLine="328"/>
        <w:spacing w:after="0" w:line="257" w:lineRule="auto"/>
        <w:tabs>
          <w:tab w:leader="none" w:pos="19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7" w:lineRule="exact"/>
        <w:rPr>
          <w:rFonts w:ascii="Arial" w:cs="Arial" w:eastAsia="Arial" w:hAnsi="Arial"/>
          <w:sz w:val="18"/>
          <w:szCs w:val="18"/>
          <w:color w:val="auto"/>
        </w:rPr>
      </w:pPr>
    </w:p>
    <w:p>
      <w:pPr>
        <w:ind w:left="1880" w:hanging="252"/>
        <w:spacing w:after="0"/>
        <w:tabs>
          <w:tab w:leader="none" w:pos="18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Prospectus and Prospectus Supplement (which may be delivered in accordance with Rule 172 under the Securities Act).</w:t>
      </w:r>
    </w:p>
    <w:p>
      <w:pPr>
        <w:spacing w:after="0" w:line="236" w:lineRule="exact"/>
        <w:rPr>
          <w:rFonts w:ascii="Arial" w:cs="Arial" w:eastAsia="Arial" w:hAnsi="Arial"/>
          <w:sz w:val="17"/>
          <w:szCs w:val="17"/>
          <w:color w:val="auto"/>
        </w:rPr>
      </w:pPr>
    </w:p>
    <w:p>
      <w:pPr>
        <w:ind w:left="1560" w:hanging="256"/>
        <w:spacing w:after="0"/>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1840" w:hanging="212"/>
        <w:spacing w:after="0"/>
        <w:tabs>
          <w:tab w:leader="none" w:pos="1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ind w:left="1300" w:firstLine="328"/>
        <w:spacing w:after="0" w:line="277" w:lineRule="auto"/>
        <w:tabs>
          <w:tab w:leader="none" w:pos="19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1300" w:firstLine="328"/>
        <w:spacing w:after="0" w:line="259" w:lineRule="auto"/>
        <w:tabs>
          <w:tab w:leader="none" w:pos="18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86" w:lineRule="exact"/>
        <w:rPr>
          <w:rFonts w:ascii="Arial" w:cs="Arial" w:eastAsia="Arial" w:hAnsi="Arial"/>
          <w:sz w:val="18"/>
          <w:szCs w:val="18"/>
          <w:color w:val="auto"/>
        </w:rPr>
      </w:pPr>
    </w:p>
    <w:p>
      <w:pPr>
        <w:ind w:left="1300" w:firstLine="328"/>
        <w:spacing w:after="0" w:line="277" w:lineRule="auto"/>
        <w:tabs>
          <w:tab w:leader="none" w:pos="18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jc w:val="both"/>
        <w:ind w:left="1300" w:firstLine="328"/>
        <w:spacing w:after="0" w:line="279" w:lineRule="auto"/>
        <w:tabs>
          <w:tab w:leader="none" w:pos="187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1" w:lineRule="exact"/>
        <w:rPr>
          <w:rFonts w:ascii="Arial" w:cs="Arial" w:eastAsia="Arial" w:hAnsi="Arial"/>
          <w:sz w:val="17"/>
          <w:szCs w:val="17"/>
          <w:color w:val="auto"/>
        </w:rPr>
      </w:pPr>
    </w:p>
    <w:p>
      <w:pPr>
        <w:ind w:left="1300" w:firstLine="328"/>
        <w:spacing w:after="0" w:line="277" w:lineRule="auto"/>
        <w:tabs>
          <w:tab w:leader="none" w:pos="19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328"/>
        <w:spacing w:after="0" w:line="291" w:lineRule="auto"/>
        <w:tabs>
          <w:tab w:leader="none" w:pos="18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the Company hereby makes the following representations and warranties to each Purchaser:</w:t>
      </w:r>
    </w:p>
    <w:p>
      <w:pPr>
        <w:spacing w:after="0" w:line="170" w:lineRule="exact"/>
        <w:rPr>
          <w:sz w:val="20"/>
          <w:szCs w:val="20"/>
          <w:color w:val="auto"/>
        </w:rPr>
      </w:pPr>
    </w:p>
    <w:p>
      <w:pPr>
        <w:jc w:val="both"/>
        <w:ind w:left="660" w:firstLine="644"/>
        <w:spacing w:after="0" w:line="257" w:lineRule="auto"/>
        <w:tabs>
          <w:tab w:leader="none" w:pos="1556"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7" w:lineRule="exact"/>
        <w:rPr>
          <w:rFonts w:ascii="Arial" w:cs="Arial" w:eastAsia="Arial" w:hAnsi="Arial"/>
          <w:sz w:val="18"/>
          <w:szCs w:val="18"/>
          <w:color w:val="auto"/>
        </w:rPr>
      </w:pPr>
    </w:p>
    <w:p>
      <w:pPr>
        <w:jc w:val="both"/>
        <w:ind w:firstLine="8"/>
        <w:spacing w:after="0" w:line="284" w:lineRule="auto"/>
        <w:tabs>
          <w:tab w:leader="none" w:pos="25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Arial" w:cs="Arial" w:eastAsia="Arial" w:hAnsi="Arial"/>
          <w:sz w:val="16"/>
          <w:szCs w:val="16"/>
          <w:color w:val="auto"/>
        </w:rPr>
      </w:pPr>
    </w:p>
    <w:p>
      <w:pPr>
        <w:jc w:val="both"/>
        <w:ind w:firstLine="8"/>
        <w:spacing w:after="0" w:line="253" w:lineRule="auto"/>
        <w:tabs>
          <w:tab w:leader="none" w:pos="3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and no Proceeding has been instituted in any such jurisdiction revoking, limiting or curtailing or seeking to revoke, limit or curtail such power and authority or qualification.</w:t>
      </w:r>
    </w:p>
    <w:p>
      <w:pPr>
        <w:spacing w:after="0" w:line="192" w:lineRule="exact"/>
        <w:rPr>
          <w:rFonts w:ascii="Arial" w:cs="Arial" w:eastAsia="Arial" w:hAnsi="Arial"/>
          <w:sz w:val="18"/>
          <w:szCs w:val="18"/>
          <w:color w:val="auto"/>
        </w:rPr>
      </w:pPr>
    </w:p>
    <w:p>
      <w:pPr>
        <w:jc w:val="both"/>
        <w:ind w:firstLine="8"/>
        <w:spacing w:after="0" w:line="269" w:lineRule="auto"/>
        <w:tabs>
          <w:tab w:leader="none" w:pos="292"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8"/>
        <w:spacing w:after="0" w:line="252" w:lineRule="auto"/>
        <w:tabs>
          <w:tab w:leader="none" w:pos="26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00" w:lineRule="exact"/>
        <w:rPr>
          <w:rFonts w:ascii="Arial" w:cs="Arial" w:eastAsia="Arial" w:hAnsi="Arial"/>
          <w:sz w:val="18"/>
          <w:szCs w:val="18"/>
          <w:color w:val="auto"/>
        </w:rPr>
      </w:pPr>
    </w:p>
    <w:p>
      <w:pPr>
        <w:jc w:val="both"/>
        <w:ind w:firstLine="8"/>
        <w:spacing w:after="0" w:line="255" w:lineRule="auto"/>
        <w:tabs>
          <w:tab w:leader="none" w:pos="24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8"/>
        <w:spacing w:after="0" w:line="285" w:lineRule="auto"/>
        <w:tabs>
          <w:tab w:leader="none" w:pos="23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Securities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and the Pre-Funded Warrants. The Company has prepared and filed the Registration Statement in conformity with the requirements of the Securities Act, which became effective on December 4, 2020,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8"/>
        <w:spacing w:after="0" w:line="284" w:lineRule="auto"/>
        <w:tabs>
          <w:tab w:leader="none" w:pos="2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as of the date set forth therein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ind w:firstLine="8"/>
        <w:spacing w:after="0" w:line="286" w:lineRule="auto"/>
        <w:tabs>
          <w:tab w:leader="none" w:pos="26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7" w:lineRule="exact"/>
        <w:rPr>
          <w:rFonts w:ascii="Arial" w:cs="Arial" w:eastAsia="Arial" w:hAnsi="Arial"/>
          <w:sz w:val="16"/>
          <w:szCs w:val="16"/>
          <w:color w:val="auto"/>
        </w:rPr>
      </w:pPr>
    </w:p>
    <w:p>
      <w:pPr>
        <w:jc w:val="both"/>
        <w:ind w:firstLine="8"/>
        <w:spacing w:after="0" w:line="268" w:lineRule="auto"/>
        <w:tabs>
          <w:tab w:leader="none" w:pos="21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firstLine="8"/>
        <w:spacing w:after="0" w:line="269" w:lineRule="auto"/>
        <w:tabs>
          <w:tab w:leader="none" w:pos="23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5" w:lineRule="exact"/>
        <w:rPr>
          <w:rFonts w:ascii="Arial" w:cs="Arial" w:eastAsia="Arial" w:hAnsi="Arial"/>
          <w:sz w:val="17"/>
          <w:szCs w:val="17"/>
          <w:color w:val="auto"/>
        </w:rPr>
      </w:pPr>
    </w:p>
    <w:p>
      <w:pPr>
        <w:jc w:val="both"/>
        <w:ind w:firstLine="8"/>
        <w:spacing w:after="0" w:line="288" w:lineRule="auto"/>
        <w:tabs>
          <w:tab w:leader="none" w:pos="25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8"/>
        <w:spacing w:after="0" w:line="254" w:lineRule="auto"/>
        <w:tabs>
          <w:tab w:leader="none" w:pos="21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Arial" w:cs="Arial" w:eastAsia="Arial" w:hAnsi="Arial"/>
          <w:sz w:val="18"/>
          <w:szCs w:val="18"/>
          <w:color w:val="auto"/>
        </w:rPr>
      </w:pPr>
    </w:p>
    <w:p>
      <w:pPr>
        <w:jc w:val="both"/>
        <w:ind w:firstLine="8"/>
        <w:spacing w:after="0" w:line="270" w:lineRule="auto"/>
        <w:tabs>
          <w:tab w:leader="none" w:pos="323"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0" w:lineRule="exact"/>
        <w:rPr>
          <w:rFonts w:ascii="Arial" w:cs="Arial" w:eastAsia="Arial" w:hAnsi="Arial"/>
          <w:sz w:val="17"/>
          <w:szCs w:val="17"/>
          <w:color w:val="auto"/>
        </w:rPr>
      </w:pPr>
    </w:p>
    <w:p>
      <w:pPr>
        <w:jc w:val="both"/>
        <w:ind w:firstLine="8"/>
        <w:spacing w:after="0" w:line="279"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7"/>
          <w:szCs w:val="17"/>
          <w:u w:val="single" w:color="auto"/>
          <w:color w:val="auto"/>
        </w:rPr>
        <w:t>Material Permits</w:t>
      </w:r>
      <w:r>
        <w:rPr>
          <w:rFonts w:ascii="Arial" w:cs="Arial" w:eastAsia="Arial" w:hAnsi="Arial"/>
          <w:sz w:val="17"/>
          <w:szCs w:val="17"/>
          <w:color w:val="auto"/>
        </w:rPr>
        <w:t>”), and neither the Company nor any Subsidiary has received any notice of proceedings relating to the revocation or modification of any Material Permit.</w:t>
      </w:r>
    </w:p>
    <w:p>
      <w:pPr>
        <w:spacing w:after="0" w:line="171" w:lineRule="exact"/>
        <w:rPr>
          <w:rFonts w:ascii="Arial" w:cs="Arial" w:eastAsia="Arial" w:hAnsi="Arial"/>
          <w:sz w:val="17"/>
          <w:szCs w:val="17"/>
          <w:color w:val="auto"/>
        </w:rPr>
      </w:pPr>
    </w:p>
    <w:p>
      <w:pPr>
        <w:jc w:val="both"/>
        <w:ind w:firstLine="8"/>
        <w:spacing w:after="0" w:line="254" w:lineRule="auto"/>
        <w:tabs>
          <w:tab w:leader="none" w:pos="27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Title to Assets</w:t>
      </w:r>
      <w:r>
        <w:rPr>
          <w:rFonts w:ascii="Arial" w:cs="Arial" w:eastAsia="Arial" w:hAnsi="Arial"/>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8"/>
        <w:spacing w:after="0" w:line="268" w:lineRule="auto"/>
        <w:tabs>
          <w:tab w:leader="none" w:pos="27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6" w:lineRule="exact"/>
        <w:rPr>
          <w:rFonts w:ascii="Arial" w:cs="Arial" w:eastAsia="Arial" w:hAnsi="Arial"/>
          <w:sz w:val="17"/>
          <w:szCs w:val="17"/>
          <w:color w:val="auto"/>
        </w:rPr>
      </w:pPr>
    </w:p>
    <w:p>
      <w:pPr>
        <w:jc w:val="both"/>
        <w:ind w:firstLine="8"/>
        <w:spacing w:after="0" w:line="257" w:lineRule="auto"/>
        <w:tabs>
          <w:tab w:leader="none" w:pos="26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Arial" w:cs="Arial" w:eastAsia="Arial" w:hAnsi="Arial"/>
          <w:sz w:val="18"/>
          <w:szCs w:val="18"/>
          <w:color w:val="auto"/>
        </w:rPr>
      </w:pPr>
    </w:p>
    <w:p>
      <w:pPr>
        <w:jc w:val="both"/>
        <w:ind w:firstLine="8"/>
        <w:spacing w:after="0" w:line="270" w:lineRule="auto"/>
        <w:tabs>
          <w:tab w:leader="none" w:pos="23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8"/>
        <w:spacing w:after="0" w:line="285" w:lineRule="auto"/>
        <w:tabs>
          <w:tab w:leader="none" w:pos="23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3" w:lineRule="exact"/>
        <w:rPr>
          <w:rFonts w:ascii="Arial" w:cs="Arial" w:eastAsia="Arial" w:hAnsi="Arial"/>
          <w:sz w:val="16"/>
          <w:szCs w:val="16"/>
          <w:color w:val="auto"/>
        </w:rPr>
      </w:pPr>
    </w:p>
    <w:p>
      <w:pPr>
        <w:jc w:val="both"/>
        <w:ind w:firstLine="8"/>
        <w:spacing w:after="0" w:line="257" w:lineRule="auto"/>
        <w:tabs>
          <w:tab w:leader="none" w:pos="22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7" w:lineRule="exact"/>
        <w:rPr>
          <w:rFonts w:ascii="Arial" w:cs="Arial" w:eastAsia="Arial" w:hAnsi="Arial"/>
          <w:sz w:val="18"/>
          <w:szCs w:val="18"/>
          <w:color w:val="auto"/>
        </w:rPr>
      </w:pPr>
    </w:p>
    <w:p>
      <w:pPr>
        <w:jc w:val="both"/>
        <w:ind w:firstLine="8"/>
        <w:spacing w:after="0" w:line="311" w:lineRule="auto"/>
        <w:tabs>
          <w:tab w:leader="none" w:pos="26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Investment Company</w:t>
      </w:r>
      <w:r>
        <w:rPr>
          <w:rFonts w:ascii="Arial" w:cs="Arial" w:eastAsia="Arial" w:hAnsi="Arial"/>
          <w:sz w:val="16"/>
          <w:szCs w:val="16"/>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ind w:firstLine="8"/>
        <w:spacing w:after="0" w:line="277" w:lineRule="auto"/>
        <w:tabs>
          <w:tab w:leader="none" w:pos="28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firstLine="8"/>
        <w:spacing w:after="0" w:line="270" w:lineRule="auto"/>
        <w:tabs>
          <w:tab w:leader="none" w:pos="30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0" w:lineRule="exact"/>
        <w:rPr>
          <w:rFonts w:ascii="Arial" w:cs="Arial" w:eastAsia="Arial" w:hAnsi="Arial"/>
          <w:sz w:val="17"/>
          <w:szCs w:val="17"/>
          <w:color w:val="auto"/>
        </w:rPr>
      </w:pPr>
    </w:p>
    <w:p>
      <w:pPr>
        <w:jc w:val="both"/>
        <w:ind w:firstLine="8"/>
        <w:spacing w:after="0" w:line="296" w:lineRule="auto"/>
        <w:tabs>
          <w:tab w:leader="none" w:pos="26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Application of Takeover Protections</w:t>
      </w:r>
      <w:r>
        <w:rPr>
          <w:rFonts w:ascii="Arial" w:cs="Arial" w:eastAsia="Arial" w:hAnsi="Arial"/>
          <w:sz w:val="16"/>
          <w:szCs w:val="16"/>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61" w:lineRule="exact"/>
        <w:rPr>
          <w:rFonts w:ascii="Arial" w:cs="Arial" w:eastAsia="Arial" w:hAnsi="Arial"/>
          <w:sz w:val="16"/>
          <w:szCs w:val="16"/>
          <w:color w:val="auto"/>
        </w:rPr>
      </w:pPr>
    </w:p>
    <w:p>
      <w:pPr>
        <w:jc w:val="both"/>
        <w:ind w:firstLine="8"/>
        <w:spacing w:after="0" w:line="289" w:lineRule="auto"/>
        <w:tabs>
          <w:tab w:leader="none" w:pos="27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66" w:lineRule="exact"/>
        <w:rPr>
          <w:rFonts w:ascii="Arial" w:cs="Arial" w:eastAsia="Arial" w:hAnsi="Arial"/>
          <w:sz w:val="16"/>
          <w:szCs w:val="16"/>
          <w:color w:val="auto"/>
        </w:rPr>
      </w:pPr>
    </w:p>
    <w:p>
      <w:pPr>
        <w:jc w:val="both"/>
        <w:ind w:firstLine="8"/>
        <w:spacing w:after="0" w:line="301" w:lineRule="auto"/>
        <w:tabs>
          <w:tab w:leader="none" w:pos="25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ind w:firstLine="8"/>
        <w:spacing w:after="0" w:line="283" w:lineRule="auto"/>
        <w:tabs>
          <w:tab w:leader="none" w:pos="33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$50,000 (other than trade accounts payable incurred in the ordinary course of business),</w:t>
      </w:r>
    </w:p>
    <w:p>
      <w:pPr>
        <w:spacing w:after="0" w:line="1" w:lineRule="exact"/>
        <w:rPr>
          <w:rFonts w:ascii="Arial" w:cs="Arial" w:eastAsia="Arial" w:hAnsi="Arial"/>
          <w:sz w:val="16"/>
          <w:szCs w:val="16"/>
          <w:color w:val="auto"/>
        </w:rPr>
      </w:pPr>
    </w:p>
    <w:p>
      <w:pPr>
        <w:jc w:val="both"/>
        <w:ind w:firstLine="8"/>
        <w:spacing w:after="0" w:line="295"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61" w:lineRule="exact"/>
        <w:rPr>
          <w:rFonts w:ascii="Arial" w:cs="Arial" w:eastAsia="Arial" w:hAnsi="Arial"/>
          <w:sz w:val="16"/>
          <w:szCs w:val="16"/>
          <w:color w:val="auto"/>
        </w:rPr>
      </w:pPr>
    </w:p>
    <w:p>
      <w:pPr>
        <w:jc w:val="both"/>
        <w:ind w:firstLine="8"/>
        <w:spacing w:after="0" w:line="254" w:lineRule="auto"/>
        <w:tabs>
          <w:tab w:leader="none" w:pos="34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4" w:lineRule="exact"/>
        <w:rPr>
          <w:rFonts w:ascii="Arial" w:cs="Arial" w:eastAsia="Arial" w:hAnsi="Arial"/>
          <w:sz w:val="18"/>
          <w:szCs w:val="18"/>
          <w:color w:val="auto"/>
        </w:rPr>
      </w:pPr>
    </w:p>
    <w:p>
      <w:pPr>
        <w:jc w:val="both"/>
        <w:ind w:firstLine="8"/>
        <w:spacing w:after="0" w:line="255" w:lineRule="auto"/>
        <w:tabs>
          <w:tab w:leader="none" w:pos="34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firstLine="8"/>
        <w:spacing w:after="0" w:line="263" w:lineRule="auto"/>
        <w:tabs>
          <w:tab w:leader="none" w:pos="33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2022.</w:t>
      </w:r>
    </w:p>
    <w:p>
      <w:pPr>
        <w:spacing w:after="0" w:line="183" w:lineRule="exact"/>
        <w:rPr>
          <w:rFonts w:ascii="Arial" w:cs="Arial" w:eastAsia="Arial" w:hAnsi="Arial"/>
          <w:sz w:val="18"/>
          <w:szCs w:val="18"/>
          <w:color w:val="auto"/>
        </w:rPr>
      </w:pPr>
    </w:p>
    <w:p>
      <w:pPr>
        <w:jc w:val="both"/>
        <w:ind w:firstLine="8"/>
        <w:spacing w:after="0" w:line="291" w:lineRule="auto"/>
        <w:tabs>
          <w:tab w:leader="none" w:pos="318"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Purchase of Securities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66" w:lineRule="exact"/>
        <w:rPr>
          <w:rFonts w:ascii="Arial" w:cs="Arial" w:eastAsia="Arial" w:hAnsi="Arial"/>
          <w:sz w:val="16"/>
          <w:szCs w:val="16"/>
          <w:color w:val="auto"/>
        </w:rPr>
      </w:pPr>
    </w:p>
    <w:p>
      <w:pPr>
        <w:jc w:val="both"/>
        <w:ind w:firstLine="8"/>
        <w:spacing w:after="0" w:line="268" w:lineRule="auto"/>
        <w:tabs>
          <w:tab w:leader="none" w:pos="27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ind w:firstLine="8"/>
        <w:spacing w:after="0" w:line="257" w:lineRule="auto"/>
        <w:tabs>
          <w:tab w:leader="none" w:pos="36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Regulation M Compliance</w:t>
      </w:r>
      <w:r>
        <w:rPr>
          <w:rFonts w:ascii="Arial" w:cs="Arial" w:eastAsia="Arial" w:hAnsi="Arial"/>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7" w:lineRule="exact"/>
        <w:rPr>
          <w:rFonts w:ascii="Arial" w:cs="Arial" w:eastAsia="Arial" w:hAnsi="Arial"/>
          <w:sz w:val="18"/>
          <w:szCs w:val="18"/>
          <w:color w:val="auto"/>
        </w:rPr>
      </w:pPr>
    </w:p>
    <w:p>
      <w:pPr>
        <w:jc w:val="both"/>
        <w:ind w:firstLine="8"/>
        <w:spacing w:after="0" w:line="285" w:lineRule="auto"/>
        <w:tabs>
          <w:tab w:leader="none" w:pos="35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68" w:lineRule="exact"/>
        <w:rPr>
          <w:rFonts w:ascii="Arial" w:cs="Arial" w:eastAsia="Arial" w:hAnsi="Arial"/>
          <w:sz w:val="16"/>
          <w:szCs w:val="16"/>
          <w:color w:val="auto"/>
        </w:rPr>
      </w:pPr>
    </w:p>
    <w:p>
      <w:pPr>
        <w:jc w:val="both"/>
        <w:ind w:firstLine="8"/>
        <w:spacing w:after="0" w:line="255" w:lineRule="auto"/>
        <w:tabs>
          <w:tab w:leader="none" w:pos="26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ind w:firstLine="8"/>
        <w:spacing w:after="0" w:line="269" w:lineRule="auto"/>
        <w:tabs>
          <w:tab w:leader="none" w:pos="27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Arial" w:cs="Arial" w:eastAsia="Arial" w:hAnsi="Arial"/>
          <w:sz w:val="17"/>
          <w:szCs w:val="17"/>
          <w:u w:val="single" w:color="auto"/>
          <w:color w:val="auto"/>
        </w:rPr>
        <w:t>IT Systems and Data</w:t>
      </w:r>
      <w:r>
        <w:rPr>
          <w:rFonts w:ascii="Arial" w:cs="Arial" w:eastAsia="Arial" w:hAnsi="Arial"/>
          <w:sz w:val="17"/>
          <w:szCs w:val="17"/>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1" w:lineRule="exact"/>
        <w:rPr>
          <w:rFonts w:ascii="Arial" w:cs="Arial" w:eastAsia="Arial" w:hAnsi="Arial"/>
          <w:sz w:val="17"/>
          <w:szCs w:val="17"/>
          <w:color w:val="auto"/>
        </w:rPr>
      </w:pPr>
    </w:p>
    <w:p>
      <w:pPr>
        <w:jc w:val="both"/>
        <w:ind w:firstLine="8"/>
        <w:spacing w:after="0" w:line="263" w:lineRule="auto"/>
        <w:tabs>
          <w:tab w:leader="none" w:pos="36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8"/>
        <w:spacing w:after="0" w:line="277" w:lineRule="auto"/>
        <w:tabs>
          <w:tab w:leader="none" w:pos="26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70" w:lineRule="exact"/>
        <w:rPr>
          <w:rFonts w:ascii="Arial" w:cs="Arial" w:eastAsia="Arial" w:hAnsi="Arial"/>
          <w:sz w:val="18"/>
          <w:szCs w:val="18"/>
          <w:color w:val="auto"/>
        </w:rPr>
      </w:pPr>
    </w:p>
    <w:p>
      <w:pPr>
        <w:jc w:val="both"/>
        <w:ind w:firstLine="8"/>
        <w:spacing w:after="0" w:line="255" w:lineRule="auto"/>
        <w:tabs>
          <w:tab w:leader="none" w:pos="46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or Affiliates is subject to the Bank Holding Company Act of 1956, as amended (the “</w:t>
      </w:r>
      <w:r>
        <w:rPr>
          <w:rFonts w:ascii="Arial" w:cs="Arial" w:eastAsia="Arial" w:hAnsi="Arial"/>
          <w:sz w:val="18"/>
          <w:szCs w:val="18"/>
          <w:u w:val="single" w:color="auto"/>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u w:val="single" w:color="auto"/>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both"/>
        <w:ind w:firstLine="8"/>
        <w:spacing w:after="0" w:line="275" w:lineRule="auto"/>
        <w:tabs>
          <w:tab w:leader="none" w:pos="35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24" w:lineRule="exact"/>
        <w:rPr>
          <w:sz w:val="20"/>
          <w:szCs w:val="20"/>
          <w:color w:val="auto"/>
        </w:rPr>
      </w:pPr>
    </w:p>
    <w:p>
      <w:pPr>
        <w:jc w:val="both"/>
        <w:ind w:left="380" w:firstLine="924"/>
        <w:spacing w:after="0" w:line="269" w:lineRule="auto"/>
        <w:tabs>
          <w:tab w:leader="none" w:pos="1549"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80" w:firstLine="924"/>
        <w:spacing w:after="0" w:line="279" w:lineRule="auto"/>
        <w:tabs>
          <w:tab w:leader="none" w:pos="157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1" w:lineRule="exact"/>
        <w:rPr>
          <w:rFonts w:ascii="Arial" w:cs="Arial" w:eastAsia="Arial" w:hAnsi="Arial"/>
          <w:sz w:val="17"/>
          <w:szCs w:val="17"/>
          <w:color w:val="auto"/>
        </w:rPr>
      </w:pPr>
    </w:p>
    <w:p>
      <w:pPr>
        <w:jc w:val="both"/>
        <w:ind w:left="380" w:firstLine="924"/>
        <w:spacing w:after="0" w:line="291" w:lineRule="auto"/>
        <w:tabs>
          <w:tab w:leader="none" w:pos="155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Securities, it was, and as of the date hereof it is, and on each date on which it exercises any Pre-Funded Warrants, it will be either (i) an “accredited investor” as defined in Rule 501(a)(1), (a)(2), (a)(3), (a)(7), (a)(8), (a)</w:t>
      </w:r>
    </w:p>
    <w:p>
      <w:pPr>
        <w:ind w:left="380"/>
        <w:spacing w:after="0"/>
        <w:rPr>
          <w:rFonts w:ascii="Arial" w:cs="Arial" w:eastAsia="Arial" w:hAnsi="Arial"/>
          <w:sz w:val="16"/>
          <w:szCs w:val="16"/>
          <w:color w:val="auto"/>
        </w:rPr>
      </w:pPr>
      <w:r>
        <w:rPr>
          <w:rFonts w:ascii="Arial" w:cs="Arial" w:eastAsia="Arial" w:hAnsi="Arial"/>
          <w:sz w:val="18"/>
          <w:szCs w:val="18"/>
          <w:color w:val="auto"/>
        </w:rPr>
        <w:t>(9), (a)(12), or (a)(13) under the Securities Act or (ii) a “qualified institutional buyer” as defined in Rule 144A(a) under the Securities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ind w:firstLine="924"/>
        <w:spacing w:after="0" w:line="259" w:lineRule="auto"/>
        <w:tabs>
          <w:tab w:leader="none" w:pos="118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4"/>
        <w:spacing w:after="0" w:line="269" w:lineRule="auto"/>
        <w:tabs>
          <w:tab w:leader="none" w:pos="1169"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78" w:lineRule="exact"/>
        <w:rPr>
          <w:rFonts w:ascii="Arial" w:cs="Arial" w:eastAsia="Arial" w:hAnsi="Arial"/>
          <w:sz w:val="17"/>
          <w:szCs w:val="17"/>
          <w:color w:val="auto"/>
        </w:rPr>
      </w:pPr>
    </w:p>
    <w:p>
      <w:pPr>
        <w:jc w:val="both"/>
        <w:ind w:firstLine="924"/>
        <w:spacing w:after="0" w:line="286" w:lineRule="auto"/>
        <w:tabs>
          <w:tab w:leader="none" w:pos="115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692" w:right="339" w:bottom="1440" w:gutter="0" w:footer="0" w:header="0"/>
        </w:sectPr>
      </w:pPr>
    </w:p>
    <w:bookmarkStart w:id="64" w:name="page65"/>
    <w:bookmarkEnd w:id="64"/>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69" w:lineRule="auto"/>
        <w:tabs>
          <w:tab w:leader="none" w:pos="2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Furnishing of Information</w:t>
      </w:r>
      <w:r>
        <w:rPr>
          <w:rFonts w:ascii="Arial" w:cs="Arial" w:eastAsia="Arial" w:hAnsi="Arial"/>
          <w:sz w:val="16"/>
          <w:szCs w:val="16"/>
          <w:color w:val="auto"/>
        </w:rPr>
        <w:t>. Until the earliest of the time that (i) no Purchaser owns Securities or (ii) the Pre-Funded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Subsequent Equity Sales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59" w:lineRule="auto"/>
        <w:tabs>
          <w:tab w:leader="none" w:pos="2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From the date hereof until five (5) Trading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the Prospectus Supplement, filing a registration statement on Form S-8 in connection with any employee benefit plan and the Warrant Amendment.</w:t>
      </w:r>
    </w:p>
    <w:p>
      <w:pPr>
        <w:spacing w:after="0" w:line="186" w:lineRule="exact"/>
        <w:rPr>
          <w:rFonts w:ascii="Arial" w:cs="Arial" w:eastAsia="Arial" w:hAnsi="Arial"/>
          <w:sz w:val="18"/>
          <w:szCs w:val="18"/>
          <w:color w:val="auto"/>
        </w:rPr>
      </w:pPr>
    </w:p>
    <w:p>
      <w:pPr>
        <w:jc w:val="both"/>
        <w:ind w:firstLine="8"/>
        <w:spacing w:after="0" w:line="287" w:lineRule="auto"/>
        <w:tabs>
          <w:tab w:leader="none" w:pos="261" w:val="left"/>
        </w:tabs>
        <w:numPr>
          <w:ilvl w:val="0"/>
          <w:numId w:val="64"/>
        </w:numPr>
        <w:rPr>
          <w:rFonts w:ascii="Arial" w:cs="Arial" w:eastAsia="Arial" w:hAnsi="Arial"/>
          <w:sz w:val="16"/>
          <w:szCs w:val="16"/>
          <w:color w:val="auto"/>
        </w:rPr>
      </w:pPr>
      <w:r>
        <w:rPr>
          <w:rFonts w:ascii="Arial" w:cs="Arial" w:eastAsia="Arial" w:hAnsi="Arial"/>
          <w:sz w:val="16"/>
          <w:szCs w:val="16"/>
          <w:color w:val="auto"/>
        </w:rPr>
        <w:t>From the date hereof until the one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six months following the Closing Date, the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67" w:lineRule="exact"/>
        <w:rPr>
          <w:rFonts w:ascii="Arial" w:cs="Arial" w:eastAsia="Arial" w:hAnsi="Arial"/>
          <w:sz w:val="16"/>
          <w:szCs w:val="16"/>
          <w:color w:val="auto"/>
        </w:rPr>
      </w:pPr>
    </w:p>
    <w:p>
      <w:pPr>
        <w:ind w:firstLine="8"/>
        <w:spacing w:after="0" w:line="277" w:lineRule="auto"/>
        <w:tabs>
          <w:tab w:leader="none" w:pos="251"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foregoing, this Section 4.11 shall not apply in respect of an Exempt Issuance, except that no Variable Rate Transaction shall be an Exempt Issuance.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Exercise Procedures</w:t>
      </w:r>
      <w:r>
        <w:rPr>
          <w:rFonts w:ascii="Arial" w:cs="Arial" w:eastAsia="Arial" w:hAnsi="Arial"/>
          <w:sz w:val="18"/>
          <w:szCs w:val="18"/>
          <w:color w:val="auto"/>
        </w:rPr>
        <w:t>.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Waiver of Restrictions on Subsequent Equity Sales</w:t>
      </w:r>
      <w:r>
        <w:rPr>
          <w:rFonts w:ascii="Arial" w:cs="Arial" w:eastAsia="Arial" w:hAnsi="Arial"/>
          <w:sz w:val="18"/>
          <w:szCs w:val="18"/>
          <w:color w:val="auto"/>
        </w:rPr>
        <w:t>. Solely for the purpose of the issuance and sale of the Securities and the consummation of the transactions contemplated hereby, the Purchaser signatory to that certain Securities Purchase Agreement, dated as of May 22, 2023, by and between the Company and the purchaser signatory thereto (the “</w:t>
      </w:r>
      <w:r>
        <w:rPr>
          <w:rFonts w:ascii="Arial" w:cs="Arial" w:eastAsia="Arial" w:hAnsi="Arial"/>
          <w:sz w:val="18"/>
          <w:szCs w:val="18"/>
          <w:u w:val="single" w:color="auto"/>
          <w:color w:val="auto"/>
        </w:rPr>
        <w:t>May SPA</w:t>
      </w:r>
      <w:r>
        <w:rPr>
          <w:rFonts w:ascii="Arial" w:cs="Arial" w:eastAsia="Arial" w:hAnsi="Arial"/>
          <w:sz w:val="18"/>
          <w:szCs w:val="18"/>
          <w:color w:val="auto"/>
        </w:rPr>
        <w:t>”), hereby waives the restrictions of the Company from issuing (or agreeing to issue) Common Stock and Common Stock Equivalents, as set forth in Section 4.11(a) of the May SPA.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w:t>
      </w:r>
    </w:p>
    <w:p>
      <w:pPr>
        <w:jc w:val="both"/>
        <w:spacing w:after="0" w:line="211" w:lineRule="auto"/>
        <w:rPr>
          <w:sz w:val="20"/>
          <w:szCs w:val="20"/>
          <w:color w:val="auto"/>
        </w:rPr>
      </w:pPr>
      <w:r>
        <w:rPr>
          <w:rFonts w:ascii="Arial" w:cs="Arial" w:eastAsia="Arial" w:hAnsi="Arial"/>
          <w:sz w:val="18"/>
          <w:szCs w:val="18"/>
          <w:color w:val="auto"/>
        </w:rPr>
        <w:t>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hereto on a day that is not a Trading Day or later than 5:30 p.m. (New York City time) on any Trading Day, (c)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Placement Agent shall be the third party beneficiary of the representations and warranties of the Company in Section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both"/>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Liquidated Damages</w:t>
      </w:r>
      <w:r>
        <w:rPr>
          <w:rFonts w:ascii="Arial" w:cs="Arial" w:eastAsia="Arial" w:hAnsi="Arial"/>
          <w:sz w:val="16"/>
          <w:szCs w:val="16"/>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both"/>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6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color w:val="auto"/>
        </w:rPr>
        <w:t>MICROBOT MEDICAL INC.</w:t>
      </w:r>
      <w:r>
        <w:rPr>
          <w:sz w:val="20"/>
          <w:szCs w:val="20"/>
          <w:color w:val="auto"/>
        </w:rPr>
        <w:tab/>
      </w:r>
      <w:r>
        <w:rPr>
          <w:rFonts w:ascii="Arial" w:cs="Arial" w:eastAsia="Arial" w:hAnsi="Arial"/>
          <w:sz w:val="16"/>
          <w:szCs w:val="16"/>
          <w:u w:val="single" w:color="auto"/>
          <w:color w:val="auto"/>
        </w:rPr>
        <w:t>Address for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[PURCHASER SIGNATURE PAGES TO MBOT SECURITIES PURCHASE 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Arial" w:cs="Arial" w:eastAsia="Arial" w:hAnsi="Arial"/>
          <w:sz w:val="18"/>
          <w:szCs w:val="18"/>
          <w:color w:val="auto"/>
        </w:rPr>
        <w:t xml:space="preserve"> 4.99% or </w:t>
      </w:r>
      <w:r>
        <w:rPr>
          <w:rFonts w:ascii="MS PGothic" w:cs="MS PGothic" w:eastAsia="MS PGothic" w:hAnsi="MS PGothic"/>
          <w:sz w:val="18"/>
          <w:szCs w:val="18"/>
          <w:color w:val="auto"/>
        </w:rPr>
        <w:t>☐</w:t>
      </w:r>
      <w:r>
        <w:rPr>
          <w:rFonts w:ascii="Arial" w:cs="Arial" w:eastAsia="Arial" w:hAnsi="Arial"/>
          <w:sz w:val="18"/>
          <w:szCs w:val="18"/>
          <w:color w:val="auto"/>
        </w:rPr>
        <w:t xml:space="preserve"> 9.99%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Holder of Preferred Investment Options to Purchase Common Stock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Amendment to Existing Preferred Investment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Holder: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Reference is hereby made to the registered offering on or about the date hereof (the “</w:t>
      </w:r>
      <w:r>
        <w:rPr>
          <w:rFonts w:ascii="Arial" w:cs="Arial" w:eastAsia="Arial" w:hAnsi="Arial"/>
          <w:sz w:val="17"/>
          <w:szCs w:val="17"/>
          <w:u w:val="single" w:color="auto"/>
          <w:color w:val="auto"/>
        </w:rPr>
        <w:t>Offering</w:t>
      </w:r>
      <w:r>
        <w:rPr>
          <w:rFonts w:ascii="Arial" w:cs="Arial" w:eastAsia="Arial" w:hAnsi="Arial"/>
          <w:sz w:val="17"/>
          <w:szCs w:val="17"/>
          <w:color w:val="auto"/>
        </w:rPr>
        <w:t>”) by Microbot Medical Inc. (the “</w:t>
      </w:r>
      <w:r>
        <w:rPr>
          <w:rFonts w:ascii="Arial" w:cs="Arial" w:eastAsia="Arial" w:hAnsi="Arial"/>
          <w:sz w:val="17"/>
          <w:szCs w:val="17"/>
          <w:u w:val="single" w:color="auto"/>
          <w:color w:val="auto"/>
        </w:rPr>
        <w:t>Company</w:t>
      </w:r>
      <w:r>
        <w:rPr>
          <w:rFonts w:ascii="Arial" w:cs="Arial" w:eastAsia="Arial" w:hAnsi="Arial"/>
          <w:sz w:val="17"/>
          <w:szCs w:val="17"/>
          <w:color w:val="auto"/>
        </w:rPr>
        <w:t>”) of its common stock, par value $0.01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and/or other securities of the Company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letter confirms that, in consideration for the Holder’s participation in the Offering and purchase of Securities in the Offering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the Company hereby amends, effective as of the closing of the Offering, the preferred investment options to purchase Common Stock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Existing Preferred Investment Options</w:t>
      </w:r>
      <w:r>
        <w:rPr>
          <w:rFonts w:ascii="Arial" w:cs="Arial" w:eastAsia="Arial" w:hAnsi="Arial"/>
          <w:sz w:val="17"/>
          <w:szCs w:val="17"/>
          <w:color w:val="auto"/>
        </w:rPr>
        <w:t>”) by reducing the Exercise Price (as defined therein) of the Existing Preferred Investment Options to $2.20 per share (the “</w:t>
      </w:r>
      <w:r>
        <w:rPr>
          <w:rFonts w:ascii="Arial" w:cs="Arial" w:eastAsia="Arial" w:hAnsi="Arial"/>
          <w:sz w:val="17"/>
          <w:szCs w:val="17"/>
          <w:u w:val="single" w:color="auto"/>
          <w:color w:val="auto"/>
        </w:rPr>
        <w:t>Preferred Investment Option Amendment</w:t>
      </w:r>
      <w:r>
        <w:rPr>
          <w:rFonts w:ascii="Arial" w:cs="Arial" w:eastAsia="Arial" w:hAnsi="Arial"/>
          <w:sz w:val="17"/>
          <w:szCs w:val="17"/>
          <w:color w:val="auto"/>
        </w:rPr>
        <w:t>”) and extending the termination date of the Series B existing investment options included in the Existing Preferred Investment Options to October 25, 2027. The Preferred Investment Option Amendment shall be effective upon the closing the Offering and the satisfaction of the other terms and conditions referenced below.</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Preferred Investment Option Amendment is subject to the consummation of the Offering and the Holder’s satisfaction of the Purchase Commitment. In the event that either (i) the Offering is not consummated, or (ii) the Holder does not satisfy the Purchase Commitment, the Preferred Investment Option Amendment shall be null and void and the provisions of the Existing Preferred Investment Options in effect prior to the date hereof shall remain in effect.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expressly set forth herein, the terms and provisions of the Existing Preferred Investment Options shall remain in full force and effect after the execution of this letter and shall not be in any way changed, modified or superseded except by the terms set forth 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and after the effectiveness of the Preferred Investment Option Amendment, the Company agrees to promptly deliver to the Holder, upon request, amended Existing Preferred Investment Options that reflect the Preferred Investment Option Amendment in exchange for the surrender for cancellation of the Holder’s Existing Preferred Investment Options to be amended as provided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Signatory of Holder: 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age to</w:t>
      </w:r>
      <w:r>
        <w:rPr>
          <w:rFonts w:ascii="Arial" w:cs="Arial" w:eastAsia="Arial" w:hAnsi="Arial"/>
          <w:sz w:val="18"/>
          <w:szCs w:val="18"/>
          <w:i w:val="1"/>
          <w:iCs w:val="1"/>
          <w:color w:val="auto"/>
        </w:rPr>
        <w:t xml:space="preserve"> MBOT P</w:t>
      </w:r>
      <w:r>
        <w:rPr>
          <w:rFonts w:ascii="Arial" w:cs="Arial" w:eastAsia="Arial" w:hAnsi="Arial"/>
          <w:sz w:val="12"/>
          <w:szCs w:val="12"/>
          <w:i w:val="1"/>
          <w:iCs w:val="1"/>
          <w:color w:val="auto"/>
        </w:rPr>
        <w:t>referred</w:t>
      </w:r>
      <w:r>
        <w:rPr>
          <w:rFonts w:ascii="Arial" w:cs="Arial" w:eastAsia="Arial" w:hAnsi="Arial"/>
          <w:sz w:val="18"/>
          <w:szCs w:val="18"/>
          <w:i w:val="1"/>
          <w:iCs w:val="1"/>
          <w:color w:val="auto"/>
        </w:rPr>
        <w:t xml:space="preserve"> I</w:t>
      </w:r>
      <w:r>
        <w:rPr>
          <w:rFonts w:ascii="Arial" w:cs="Arial" w:eastAsia="Arial" w:hAnsi="Arial"/>
          <w:sz w:val="12"/>
          <w:szCs w:val="12"/>
          <w:i w:val="1"/>
          <w:iCs w:val="1"/>
          <w:color w:val="auto"/>
        </w:rPr>
        <w:t>nvestment</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ption</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jc w:val="center"/>
        <w:ind w:right="-110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EXISTING PREFERRED INVESTMENT OPTIONS</w:t>
      </w:r>
    </w:p>
    <w:p>
      <w:pPr>
        <w:spacing w:after="0" w:line="225" w:lineRule="exact"/>
        <w:rPr>
          <w:sz w:val="20"/>
          <w:szCs w:val="20"/>
          <w:color w:val="auto"/>
        </w:rPr>
      </w:pPr>
    </w:p>
    <w:p>
      <w:pPr>
        <w:ind w:right="1799"/>
        <w:spacing w:after="0" w:line="623" w:lineRule="auto"/>
        <w:rPr>
          <w:sz w:val="20"/>
          <w:szCs w:val="20"/>
          <w:color w:val="auto"/>
        </w:rPr>
      </w:pPr>
      <w:r>
        <w:rPr>
          <w:rFonts w:ascii="Arial" w:cs="Arial" w:eastAsia="Arial" w:hAnsi="Arial"/>
          <w:sz w:val="16"/>
          <w:szCs w:val="16"/>
          <w:color w:val="auto"/>
        </w:rPr>
        <w:t>Series A Preferred Investment Options to purchase 1,022,495 shares of Common Stock, issued on October 25, 2022 Series B Preferred Investment Options to purchase 1,022,495 shares of Common Stock, issued on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80" w:name="page81"/>
    <w:bookmarkEnd w:id="80"/>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Announces $2.66 Million Registered Direct Offering of Common Stock Priced At-The-Market under Nasdaq Rules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Mass., May 23, 2023 (GLOBE NEWSWIRE) — Microbot Medical Inc. (Nasdaq: MBOT) today announced that it has entered into definitive agreements for the purchase and sale of 1,209,500 shares of the Company’s common stock (or common stock equivalents) at a purchase price of $2.20 per share of common stock in a registered direct offering priced at-the-market under Nasdaq rules. The closing of the offering is expected to occur on or about May 25, 2023, subject to the satisfaction of customary closing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gross proceeds to the Company from the offering are expected to be $2,660,900, before deducting the placement agent’s fees and other offering expenses payable by the Company. The Company intends to use the net proceeds from the offering for the continued development, commercialization and</w:t>
      </w:r>
    </w:p>
    <w:p>
      <w:pPr>
        <w:jc w:val="both"/>
        <w:spacing w:after="0" w:line="211" w:lineRule="auto"/>
        <w:rPr>
          <w:sz w:val="20"/>
          <w:szCs w:val="20"/>
          <w:color w:val="auto"/>
        </w:rPr>
      </w:pPr>
      <w:r>
        <w:rPr>
          <w:rFonts w:ascii="Arial" w:cs="Arial" w:eastAsia="Arial" w:hAnsi="Arial"/>
          <w:sz w:val="18"/>
          <w:szCs w:val="18"/>
          <w:color w:val="auto"/>
        </w:rPr>
        <w:t>regulatory activities for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securities described above are being offered by the Company pursuant to a “shelf” registration statement on Form S-3 (File No. 333-250966) previously filed with the Securities and Exchange Commission (the “SEC”) and declared effective by the SEC on December 4, 2020. The offering of the securities is made only by means of a prospectus, including a prospectus supplement, forming a part of the effective registration statement. A final prospectus supplement and accompanying prospectus relating to the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865-5711 or e-mail at placements@hcwco.com.</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offering, the Company also has agreed to amend certain existing warrants to purchase up to an aggregate of 2,044,990 shares of the Company’s common stock that were previously issued in October 2022 at an exercise price of $4.64 per share, such that effective upon the closing of the offering the amended warrants will have a reduced exercise price of $2.20 per share and 1,022,495 of the amended warrants will expire on October 25, 2027.</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about Microbot Medical is available at http://</w:t>
      </w:r>
      <w:r>
        <w:rPr>
          <w:rFonts w:ascii="Arial" w:cs="Arial" w:eastAsia="Arial" w:hAnsi="Arial"/>
          <w:sz w:val="18"/>
          <w:szCs w:val="18"/>
          <w:u w:val="single" w:color="auto"/>
          <w:color w:val="auto"/>
        </w:rPr>
        <w:t>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 the satisfaction of customary closing conditions related to the offering, the intended use of proceeds from the offering,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D2228"/>
        </w:rPr>
        <w:t>Michal Efraty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2228"/>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2228"/>
        </w:rPr>
        <w:t>IR@microbotmedical.com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Microbot Medical Announces Closing of $2.66 Million Registered Direct Offering of Common Stock Priced At-The-Market under Nasdaq Rules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HINGHAM, Mass., May 24, 2023 (GLOBE NEWSWIRE) — Microbot Medical Inc. (Nasdaq: MBOT) today announced that it has closed its previously announced registered direct offering for the purchase and sale of 1,209,500 shares of the Company’s common stock (or common stock equivalents) at a purchase price of $2.20 per share of common stock priced at-the-market under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acted as the exclusive placement agent for the offering.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gross proceeds to the Company from the offering were approximately $2,660,900, before deducting the placement agent’s fees and other offering expenses payable by the Company. The Company intends to use the net proceeds from the offering for the continued development, commercialization and</w:t>
      </w:r>
    </w:p>
    <w:p>
      <w:pPr>
        <w:jc w:val="both"/>
        <w:spacing w:after="0" w:line="211" w:lineRule="auto"/>
        <w:rPr>
          <w:sz w:val="20"/>
          <w:szCs w:val="20"/>
          <w:color w:val="auto"/>
        </w:rPr>
      </w:pPr>
      <w:r>
        <w:rPr>
          <w:rFonts w:ascii="Arial" w:cs="Arial" w:eastAsia="Arial" w:hAnsi="Arial"/>
          <w:sz w:val="18"/>
          <w:szCs w:val="18"/>
          <w:color w:val="auto"/>
        </w:rPr>
        <w:t>regulatory activities for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securities described above were offered by the Company pursuant to a “shelf” registration statement on Form S-3 (File No. 333-250966) previously filed with the Securities and Exchange Commission (the “SEC”) and declared effective by the SEC on December 4, 2020. The offering of the securities was made only by means of a prospectus, including a prospectus supplement, forming a part of the effective registration statement. A final prospectus supplement and accompanying prospectus relating to the offering was filed with the SEC. Electronic copies of the final prospectus supplement and accompanying prospectus may be obtained on the SEC’s website at http://www.sec.gov or by contacting H.C. Wainwright &amp; Co., LLC at 430 Park Avenue, 3rd Floor, New York, NY 10022, by phone at (212) 865-5711 or e-mail at placements@hcwco.com.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offering, the Company also amended certain existing warrants to purchase up to an aggregate of 2,044,990 shares of the Company’s common stock that were previously issued in October 2022 at an exercise price of $4.64 per share, such that the amended warrants have a reduced exercise price of $2.20 per share and 1,022,495 of the amended warrants will expire on October 25, 2027.</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intended use of proceeds from the offering,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lowerLetter"/>
      <w:start w:val="1"/>
    </w:lvl>
  </w:abstractNum>
  <w:abstractNum w:abstractNumId="2">
    <w:nsid w:val="3006C83E"/>
    <w:multiLevelType w:val="hybridMultilevel"/>
    <w:lvl w:ilvl="0">
      <w:lvlJc w:val="left"/>
      <w:lvlText w:val="%1)"/>
      <w:numFmt w:val="lowerLetter"/>
      <w:start w:val="2"/>
    </w:lvl>
  </w:abstractNum>
  <w:abstractNum w:abstractNumId="3">
    <w:nsid w:val="614FD4A1"/>
    <w:multiLevelType w:val="hybridMultilevel"/>
    <w:lvl w:ilvl="0">
      <w:lvlJc w:val="left"/>
      <w:lvlText w:val="%1)"/>
      <w:numFmt w:val="lowerLetter"/>
      <w:start w:val="4"/>
    </w:lvl>
    <w:lvl w:ilvl="1">
      <w:lvlJc w:val="left"/>
      <w:lvlText w:val="%2."/>
      <w:numFmt w:val="lowerRoman"/>
      <w:start w:val="1"/>
    </w:lvl>
  </w:abstractNum>
  <w:abstractNum w:abstractNumId="4">
    <w:nsid w:val="419AC241"/>
    <w:multiLevelType w:val="hybridMultilevel"/>
    <w:lvl w:ilvl="0">
      <w:lvlJc w:val="left"/>
      <w:lvlText w:val="%1."/>
      <w:numFmt w:val="lowerRoman"/>
      <w:start w:val="2"/>
    </w:lvl>
  </w:abstractNum>
  <w:abstractNum w:abstractNumId="5">
    <w:nsid w:val="5577F8E1"/>
    <w:multiLevelType w:val="hybridMultilevel"/>
    <w:lvl w:ilvl="0">
      <w:lvlJc w:val="left"/>
      <w:lvlText w:val="%1"/>
      <w:numFmt w:val="lowerLetter"/>
      <w:start w:val="1"/>
    </w:lvl>
    <w:lvl w:ilvl="1">
      <w:lvlJc w:val="left"/>
      <w:lvlText w:val="%2."/>
      <w:numFmt w:val="lowerRoman"/>
      <w:start w:val="6"/>
    </w:lvl>
  </w:abstractNum>
  <w:abstractNum w:abstractNumId="6">
    <w:nsid w:val="440BADFC"/>
    <w:multiLevelType w:val="hybridMultilevel"/>
    <w:lvl w:ilvl="0">
      <w:lvlJc w:val="left"/>
      <w:lvlText w:val="%1)"/>
      <w:numFmt w:val="lowerLetter"/>
      <w:start w:val="5"/>
    </w:lvl>
    <w:lvl w:ilvl="1">
      <w:lvlJc w:val="left"/>
      <w:lvlText w:val="%2"/>
      <w:numFmt w:val="lowerRoman"/>
      <w:start w:val="1"/>
    </w:lvl>
  </w:abstractNum>
  <w:abstractNum w:abstractNumId="7">
    <w:nsid w:val="5072367"/>
    <w:multiLevelType w:val="hybridMultilevel"/>
    <w:lvl w:ilvl="0">
      <w:lvlJc w:val="left"/>
      <w:lvlText w:val="%1)"/>
      <w:numFmt w:val="lowerLetter"/>
      <w:start w:val="1"/>
    </w:lvl>
  </w:abstractNum>
  <w:abstractNum w:abstractNumId="8">
    <w:nsid w:val="3804823E"/>
    <w:multiLevelType w:val="hybridMultilevel"/>
    <w:lvl w:ilvl="0">
      <w:lvlJc w:val="left"/>
      <w:lvlText w:val="%1)"/>
      <w:numFmt w:val="lowerLetter"/>
      <w:start w:val="3"/>
    </w:lvl>
  </w:abstractNum>
  <w:abstractNum w:abstractNumId="9">
    <w:nsid w:val="77465F01"/>
    <w:multiLevelType w:val="hybridMultilevel"/>
    <w:lvl w:ilvl="0">
      <w:lvlJc w:val="left"/>
      <w:lvlText w:val="%1)"/>
      <w:numFmt w:val="lowerLetter"/>
      <w:start w:val="5"/>
    </w:lvl>
    <w:lvl w:ilvl="1">
      <w:lvlJc w:val="left"/>
      <w:lvlText w:val="%2."/>
      <w:numFmt w:val="lowerRoman"/>
      <w:start w:val="1"/>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2"/>
    </w:lvl>
  </w:abstractNum>
  <w:abstractNum w:abstractNumId="13">
    <w:nsid w:val="5E884ADC"/>
    <w:multiLevelType w:val="hybridMultilevel"/>
    <w:lvl w:ilvl="0">
      <w:lvlJc w:val="left"/>
      <w:lvlText w:val="%1)"/>
      <w:numFmt w:val="lowerLetter"/>
      <w:start w:val="5"/>
    </w:lvl>
  </w:abstractNum>
  <w:abstractNum w:abstractNumId="14">
    <w:nsid w:val="51EAD36B"/>
    <w:multiLevelType w:val="hybridMultilevel"/>
    <w:lvl w:ilvl="0">
      <w:lvlJc w:val="left"/>
      <w:lvlText w:val="%1)"/>
      <w:numFmt w:val="lowerLetter"/>
      <w:start w:val="1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2"/>
    </w:lvl>
    <w:lvl w:ilvl="1">
      <w:lvlJc w:val="left"/>
      <w:lvlText w:val="["/>
      <w:numFmt w:val="bullet"/>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lowerLetter"/>
      <w:start w:val="4"/>
    </w:lvl>
  </w:abstractNum>
  <w:abstractNum w:abstractNumId="19">
    <w:nsid w:val="70A64E2A"/>
    <w:multiLevelType w:val="hybridMultilevel"/>
    <w:lvl w:ilvl="0">
      <w:lvlJc w:val="left"/>
      <w:lvlText w:val="%1."/>
      <w:numFmt w:val="lowerRoman"/>
      <w:start w:val="1"/>
    </w:lvl>
  </w:abstractNum>
  <w:abstractNum w:abstractNumId="20">
    <w:nsid w:val="6A2342EC"/>
    <w:multiLevelType w:val="hybridMultilevel"/>
    <w:lvl w:ilvl="0">
      <w:lvlJc w:val="left"/>
      <w:lvlText w:val="%1."/>
      <w:numFmt w:val="lowerRoman"/>
      <w:start w:val="4"/>
    </w:lvl>
  </w:abstractNum>
  <w:abstractNum w:abstractNumId="21">
    <w:nsid w:val="2A487CB0"/>
    <w:multiLevelType w:val="hybridMultilevel"/>
    <w:lvl w:ilvl="0">
      <w:lvlJc w:val="left"/>
      <w:lvlText w:val="%1)"/>
      <w:numFmt w:val="lowerLetter"/>
      <w:start w:val="5"/>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lowerLetter"/>
      <w:start w:val="4"/>
    </w:lvl>
  </w:abstractNum>
  <w:abstractNum w:abstractNumId="24">
    <w:nsid w:val="2CD89A32"/>
    <w:multiLevelType w:val="hybridMultilevel"/>
    <w:lvl w:ilvl="0">
      <w:lvlJc w:val="left"/>
      <w:lvlText w:val="%1)"/>
      <w:numFmt w:val="lowerLetter"/>
      <w:start w:val="6"/>
    </w:lvl>
    <w:lvl w:ilvl="1">
      <w:lvlJc w:val="left"/>
      <w:lvlText w:val="%2."/>
      <w:numFmt w:val="lowerRoman"/>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Letter"/>
      <w:start w:val="4"/>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3"/>
    </w:lvl>
  </w:abstractNum>
  <w:abstractNum w:abstractNumId="29">
    <w:nsid w:val="6DE91B18"/>
    <w:multiLevelType w:val="hybridMultilevel"/>
    <w:lvl w:ilvl="0">
      <w:lvlJc w:val="left"/>
      <w:lvlText w:val="%1)"/>
      <w:numFmt w:val="lowerLetter"/>
      <w:start w:val="5"/>
    </w:lvl>
  </w:abstractNum>
  <w:abstractNum w:abstractNumId="30">
    <w:nsid w:val="38437FDB"/>
    <w:multiLevelType w:val="hybridMultilevel"/>
    <w:lvl w:ilvl="0">
      <w:lvlJc w:val="left"/>
      <w:lvlText w:val="%1)"/>
      <w:numFmt w:val="lowerLetter"/>
      <w:start w:val="1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2"/>
    </w:lvl>
    <w:lvl w:ilvl="1">
      <w:lvlJc w:val="left"/>
      <w:lvlText w:val="["/>
      <w:numFmt w:val="bullet"/>
      <w:start w:val="1"/>
    </w:lvl>
  </w:abstractNum>
  <w:abstractNum w:abstractNumId="33">
    <w:nsid w:val="684A481A"/>
    <w:multiLevelType w:val="hybridMultilevel"/>
    <w:lvl w:ilvl="0">
      <w:lvlJc w:val="left"/>
      <w:lvlText w:val="(%1)"/>
      <w:numFmt w:val="decimal"/>
      <w:start w:val="4"/>
    </w:lvl>
  </w:abstractNum>
  <w:abstractNum w:abstractNumId="34">
    <w:nsid w:val="579478FE"/>
    <w:multiLevelType w:val="hybridMultilevel"/>
    <w:lvl w:ilvl="0">
      <w:lvlJc w:val="left"/>
      <w:lvlText w:val="(%1)"/>
      <w:numFmt w:val="lowerLetter"/>
      <w:start w:val="2"/>
    </w:lvl>
  </w:abstractNum>
  <w:abstractNum w:abstractNumId="35">
    <w:nsid w:val="749ABB43"/>
    <w:multiLevelType w:val="hybridMultilevel"/>
    <w:lvl w:ilvl="0">
      <w:lvlJc w:val="left"/>
      <w:lvlText w:val="(%1)"/>
      <w:numFmt w:val="lowerRoman"/>
      <w:start w:val="1"/>
    </w:lvl>
  </w:abstractNum>
  <w:abstractNum w:abstractNumId="36">
    <w:nsid w:val="3DC240FB"/>
    <w:multiLevelType w:val="hybridMultilevel"/>
    <w:lvl w:ilvl="0">
      <w:lvlJc w:val="left"/>
      <w:lvlText w:val="(%1)"/>
      <w:numFmt w:val="lowerLetter"/>
      <w:start w:val="4"/>
    </w:lvl>
  </w:abstractNum>
  <w:abstractNum w:abstractNumId="37">
    <w:nsid w:val="1BA026FA"/>
    <w:multiLevelType w:val="hybridMultilevel"/>
    <w:lvl w:ilvl="0">
      <w:lvlJc w:val="left"/>
      <w:lvlText w:val="(%1)"/>
      <w:numFmt w:val="lowerLetter"/>
      <w:start w:val="1"/>
    </w:lvl>
    <w:lvl w:ilvl="1">
      <w:lvlJc w:val="left"/>
      <w:lvlText w:val="(%2)"/>
      <w:numFmt w:val="lowerRoman"/>
      <w:start w:val="1"/>
    </w:lvl>
  </w:abstractNum>
  <w:abstractNum w:abstractNumId="38">
    <w:nsid w:val="79A1DEAA"/>
    <w:multiLevelType w:val="hybridMultilevel"/>
    <w:lvl w:ilvl="0">
      <w:lvlJc w:val="left"/>
      <w:lvlText w:val="(%1)"/>
      <w:numFmt w:val="lowerRoman"/>
      <w:start w:val="2"/>
    </w:lvl>
  </w:abstractNum>
  <w:abstractNum w:abstractNumId="39">
    <w:nsid w:val="75C6C33A"/>
    <w:multiLevelType w:val="hybridMultilevel"/>
    <w:lvl w:ilvl="0">
      <w:lvlJc w:val="left"/>
      <w:lvlText w:val="(%1)"/>
      <w:numFmt w:val="lowerLetter"/>
      <w:start w:val="1"/>
    </w:lvl>
    <w:lvl w:ilvl="1">
      <w:lvlJc w:val="left"/>
      <w:lvlText w:val="(%2)"/>
      <w:numFmt w:val="lowerRoman"/>
      <w:start w:val="1"/>
    </w:lvl>
  </w:abstractNum>
  <w:abstractNum w:abstractNumId="40">
    <w:nsid w:val="12E685FB"/>
    <w:multiLevelType w:val="hybridMultilevel"/>
    <w:lvl w:ilvl="0">
      <w:lvlJc w:val="left"/>
      <w:lvlText w:val="(%1)"/>
      <w:numFmt w:val="lowerRoman"/>
      <w:start w:val="1"/>
    </w:lvl>
  </w:abstractNum>
  <w:abstractNum w:abstractNumId="41">
    <w:nsid w:val="70C6A529"/>
    <w:multiLevelType w:val="hybridMultilevel"/>
    <w:lvl w:ilvl="0">
      <w:lvlJc w:val="left"/>
      <w:lvlText w:val="%1"/>
      <w:numFmt w:val="lowerLetter"/>
      <w:start w:val="1"/>
    </w:lvl>
    <w:lvl w:ilvl="1">
      <w:lvlJc w:val="left"/>
      <w:lvlText w:val="(%2)"/>
      <w:numFmt w:val="lowerLetter"/>
      <w:start w:val="1"/>
    </w:lvl>
  </w:abstractNum>
  <w:abstractNum w:abstractNumId="42">
    <w:nsid w:val="520EEDD1"/>
    <w:multiLevelType w:val="hybridMultilevel"/>
    <w:lvl w:ilvl="0">
      <w:lvlJc w:val="left"/>
      <w:lvlText w:val="(%1)"/>
      <w:numFmt w:val="lowerLetter"/>
      <w:start w:val="2"/>
    </w:lvl>
    <w:lvl w:ilvl="1">
      <w:lvlJc w:val="left"/>
      <w:lvlText w:val="%2"/>
      <w:numFmt w:val="lowerLetter"/>
      <w:start w:val="1"/>
    </w:lvl>
  </w:abstractNum>
  <w:abstractNum w:abstractNumId="43">
    <w:nsid w:val="374A3FE6"/>
    <w:multiLevelType w:val="hybridMultilevel"/>
    <w:lvl w:ilvl="0">
      <w:lvlJc w:val="left"/>
      <w:lvlText w:val="(%1)"/>
      <w:numFmt w:val="lowerLetter"/>
      <w:start w:val="35"/>
    </w:lvl>
    <w:lvl w:ilvl="1">
      <w:lvlJc w:val="left"/>
      <w:lvlText w:val="%2"/>
      <w:numFmt w:val="lowerLetter"/>
      <w:start w:val="1"/>
    </w:lvl>
  </w:abstractNum>
  <w:abstractNum w:abstractNumId="44">
    <w:nsid w:val="4F4EF005"/>
    <w:multiLevelType w:val="hybridMultilevel"/>
    <w:lvl w:ilvl="0">
      <w:lvlJc w:val="left"/>
      <w:lvlText w:val="(%1)"/>
      <w:numFmt w:val="lowerLetter"/>
      <w:start w:val="3"/>
    </w:lvl>
    <w:lvl w:ilvl="1">
      <w:lvlJc w:val="left"/>
      <w:lvlText w:val="%2"/>
      <w:numFmt w:val="lowerLetter"/>
      <w:start w:val="1"/>
    </w:lvl>
  </w:abstractNum>
  <w:abstractNum w:abstractNumId="45">
    <w:nsid w:val="23F9C13C"/>
    <w:multiLevelType w:val="hybridMultilevel"/>
    <w:lvl w:ilvl="0">
      <w:lvlJc w:val="left"/>
      <w:lvlText w:val="(%1)"/>
      <w:numFmt w:val="lowerLetter"/>
      <w:start w:val="4"/>
    </w:lvl>
  </w:abstractNum>
  <w:abstractNum w:abstractNumId="46">
    <w:nsid w:val="649BB77C"/>
    <w:multiLevelType w:val="hybridMultilevel"/>
    <w:lvl w:ilvl="0">
      <w:lvlJc w:val="left"/>
      <w:lvlText w:val="(%1)"/>
      <w:numFmt w:val="lowerLetter"/>
      <w:start w:val="7"/>
    </w:lvl>
  </w:abstractNum>
  <w:abstractNum w:abstractNumId="47">
    <w:nsid w:val="275AC794"/>
    <w:multiLevelType w:val="hybridMultilevel"/>
    <w:lvl w:ilvl="0">
      <w:lvlJc w:val="left"/>
      <w:lvlText w:val="(%1)"/>
      <w:numFmt w:val="lowerLetter"/>
      <w:start w:val="8"/>
    </w:lvl>
  </w:abstractNum>
  <w:abstractNum w:abstractNumId="48">
    <w:nsid w:val="39386575"/>
    <w:multiLevelType w:val="hybridMultilevel"/>
    <w:lvl w:ilvl="0">
      <w:lvlJc w:val="left"/>
      <w:lvlText w:val="(%1)"/>
      <w:numFmt w:val="lowerLetter"/>
      <w:start w:val="10"/>
    </w:lvl>
  </w:abstractNum>
  <w:abstractNum w:abstractNumId="49">
    <w:nsid w:val="1CF10FD8"/>
    <w:multiLevelType w:val="hybridMultilevel"/>
    <w:lvl w:ilvl="0">
      <w:lvlJc w:val="left"/>
      <w:lvlText w:val="(%1)"/>
      <w:numFmt w:val="lowerLetter"/>
      <w:start w:val="12"/>
    </w:lvl>
  </w:abstractNum>
  <w:abstractNum w:abstractNumId="50">
    <w:nsid w:val="180115BE"/>
    <w:multiLevelType w:val="hybridMultilevel"/>
    <w:lvl w:ilvl="0">
      <w:lvlJc w:val="left"/>
      <w:lvlText w:val="(%1)"/>
      <w:numFmt w:val="lowerLetter"/>
      <w:start w:val="16"/>
    </w:lvl>
  </w:abstractNum>
  <w:abstractNum w:abstractNumId="51">
    <w:nsid w:val="235BA861"/>
    <w:multiLevelType w:val="hybridMultilevel"/>
    <w:lvl w:ilvl="0">
      <w:lvlJc w:val="left"/>
      <w:lvlText w:val="(%1)"/>
      <w:numFmt w:val="lowerLetter"/>
      <w:start w:val="19"/>
    </w:lvl>
  </w:abstractNum>
  <w:abstractNum w:abstractNumId="52">
    <w:nsid w:val="47398C89"/>
    <w:multiLevelType w:val="hybridMultilevel"/>
    <w:lvl w:ilvl="0">
      <w:lvlJc w:val="left"/>
      <w:lvlText w:val="(%1)"/>
      <w:numFmt w:val="lowerLetter"/>
      <w:start w:val="22"/>
    </w:lvl>
  </w:abstractNum>
  <w:abstractNum w:abstractNumId="53">
    <w:nsid w:val="354FE9F9"/>
    <w:multiLevelType w:val="hybridMultilevel"/>
    <w:lvl w:ilvl="0">
      <w:lvlJc w:val="left"/>
      <w:lvlText w:val="(%1)"/>
      <w:numFmt w:val="lowerLetter"/>
      <w:start w:val="27"/>
    </w:lvl>
  </w:abstractNum>
  <w:abstractNum w:abstractNumId="54">
    <w:nsid w:val="15B5AF5C"/>
    <w:multiLevelType w:val="hybridMultilevel"/>
    <w:lvl w:ilvl="0">
      <w:lvlJc w:val="left"/>
      <w:lvlText w:val="(%1)"/>
      <w:numFmt w:val="lowerLetter"/>
      <w:start w:val="25"/>
    </w:lvl>
  </w:abstractNum>
  <w:abstractNum w:abstractNumId="55">
    <w:nsid w:val="741226BB"/>
    <w:multiLevelType w:val="hybridMultilevel"/>
    <w:lvl w:ilvl="0">
      <w:lvlJc w:val="left"/>
      <w:lvlText w:val="(%1)"/>
      <w:numFmt w:val="lowerLetter"/>
      <w:start w:val="28"/>
    </w:lvl>
  </w:abstractNum>
  <w:abstractNum w:abstractNumId="56">
    <w:nsid w:val="D34B6A8"/>
    <w:multiLevelType w:val="hybridMultilevel"/>
    <w:lvl w:ilvl="0">
      <w:lvlJc w:val="left"/>
      <w:lvlText w:val="(%1)"/>
      <w:numFmt w:val="lowerLetter"/>
      <w:start w:val="30"/>
    </w:lvl>
  </w:abstractNum>
  <w:abstractNum w:abstractNumId="57">
    <w:nsid w:val="10233C99"/>
    <w:multiLevelType w:val="hybridMultilevel"/>
    <w:lvl w:ilvl="0">
      <w:lvlJc w:val="left"/>
      <w:lvlText w:val="(%1)"/>
      <w:numFmt w:val="lowerLetter"/>
      <w:start w:val="33"/>
    </w:lvl>
  </w:abstractNum>
  <w:abstractNum w:abstractNumId="58">
    <w:nsid w:val="3F6AB60F"/>
    <w:multiLevelType w:val="hybridMultilevel"/>
    <w:lvl w:ilvl="0">
      <w:lvlJc w:val="left"/>
      <w:lvlText w:val="(%1)"/>
      <w:numFmt w:val="lowerLetter"/>
      <w:start w:val="36"/>
    </w:lvl>
  </w:abstractNum>
  <w:abstractNum w:abstractNumId="59">
    <w:nsid w:val="61574095"/>
    <w:multiLevelType w:val="hybridMultilevel"/>
    <w:lvl w:ilvl="0">
      <w:lvlJc w:val="left"/>
      <w:lvlText w:val="(%1)"/>
      <w:numFmt w:val="lowerLetter"/>
      <w:start w:val="40"/>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Letter"/>
      <w:start w:val="4"/>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2023-05-24T16:23:50Z</dcterms:created>
  <dcterms:modified xsi:type="dcterms:W3CDTF">2023-05-24T16:23:50Z</dcterms:modified>
</cp:coreProperties>
</file>