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2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July 20, 2007</w:t>
      </w:r>
    </w:p>
    <w:p>
      <w:pPr>
        <w:spacing w:after="0" w:line="225"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Registration No. 333-_______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20"/>
        </w:trPr>
        <w:tc>
          <w:tcPr>
            <w:tcW w:w="640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6400" w:type="dxa"/>
            <w:vAlign w:val="bottom"/>
            <w:gridSpan w:val="3"/>
          </w:tcPr>
          <w:p>
            <w:pPr>
              <w:jc w:val="center"/>
              <w:ind w:right="4060"/>
              <w:spacing w:after="0"/>
              <w:rPr>
                <w:sz w:val="20"/>
                <w:szCs w:val="20"/>
                <w:color w:val="auto"/>
              </w:rPr>
            </w:pPr>
            <w:r>
              <w:rPr>
                <w:rFonts w:ascii="Arial" w:cs="Arial" w:eastAsia="Arial" w:hAnsi="Arial"/>
                <w:sz w:val="18"/>
                <w:szCs w:val="18"/>
                <w:color w:val="auto"/>
                <w:w w:val="92"/>
              </w:rPr>
              <w:t>(State or other jurisdiction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6400" w:type="dxa"/>
            <w:vAlign w:val="bottom"/>
            <w:gridSpan w:val="3"/>
          </w:tcPr>
          <w:p>
            <w:pPr>
              <w:jc w:val="center"/>
              <w:ind w:right="4040"/>
              <w:spacing w:after="0"/>
              <w:rPr>
                <w:sz w:val="20"/>
                <w:szCs w:val="20"/>
                <w:color w:val="auto"/>
              </w:rPr>
            </w:pPr>
            <w:r>
              <w:rPr>
                <w:rFonts w:ascii="Arial" w:cs="Arial" w:eastAsia="Arial" w:hAnsi="Arial"/>
                <w:sz w:val="18"/>
                <w:szCs w:val="18"/>
                <w:color w:val="auto"/>
                <w:w w:val="92"/>
              </w:rPr>
              <w:t>of 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306"/>
        </w:trPr>
        <w:tc>
          <w:tcPr>
            <w:tcW w:w="2700" w:type="dxa"/>
            <w:vAlign w:val="bottom"/>
          </w:tcPr>
          <w:p>
            <w:pPr>
              <w:spacing w:after="0"/>
              <w:rPr>
                <w:sz w:val="24"/>
                <w:szCs w:val="24"/>
                <w:color w:val="auto"/>
              </w:rPr>
            </w:pPr>
          </w:p>
        </w:tc>
        <w:tc>
          <w:tcPr>
            <w:tcW w:w="37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3"/>
              </w:rPr>
              <w:t>3155 Porter Drive</w:t>
            </w:r>
          </w:p>
        </w:tc>
        <w:tc>
          <w:tcPr>
            <w:tcW w:w="144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37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Palo Alto, CA 94304</w:t>
            </w:r>
          </w:p>
        </w:tc>
        <w:tc>
          <w:tcPr>
            <w:tcW w:w="1440" w:type="dxa"/>
            <w:vAlign w:val="bottom"/>
          </w:tcPr>
          <w:p>
            <w:pPr>
              <w:spacing w:after="0"/>
              <w:rPr>
                <w:sz w:val="18"/>
                <w:szCs w:val="18"/>
                <w:color w:val="auto"/>
              </w:rPr>
            </w:pPr>
          </w:p>
        </w:tc>
      </w:tr>
      <w:tr>
        <w:trPr>
          <w:trHeight w:val="220"/>
        </w:trPr>
        <w:tc>
          <w:tcPr>
            <w:tcW w:w="5660" w:type="dxa"/>
            <w:vAlign w:val="bottom"/>
            <w:gridSpan w:val="2"/>
          </w:tcPr>
          <w:p>
            <w:pPr>
              <w:jc w:val="center"/>
              <w:ind w:left="2610"/>
              <w:spacing w:after="0"/>
              <w:rPr>
                <w:sz w:val="20"/>
                <w:szCs w:val="20"/>
                <w:color w:val="auto"/>
              </w:rPr>
            </w:pPr>
            <w:r>
              <w:rPr>
                <w:rFonts w:ascii="Arial" w:cs="Arial" w:eastAsia="Arial" w:hAnsi="Arial"/>
                <w:sz w:val="18"/>
                <w:szCs w:val="18"/>
                <w:b w:val="1"/>
                <w:bCs w:val="1"/>
                <w:color w:val="auto"/>
                <w:w w:val="90"/>
              </w:rPr>
              <w:t>(650) 475-3100</w:t>
            </w: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400" w:type="dxa"/>
            <w:vAlign w:val="bottom"/>
            <w:gridSpan w:val="3"/>
          </w:tcPr>
          <w:p>
            <w:pPr>
              <w:jc w:val="center"/>
              <w:ind w:left="187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440" w:type="dxa"/>
            <w:vAlign w:val="bottom"/>
          </w:tcPr>
          <w:p>
            <w:pPr>
              <w:spacing w:after="0"/>
              <w:rPr>
                <w:sz w:val="20"/>
                <w:szCs w:val="20"/>
                <w:color w:val="auto"/>
              </w:rPr>
            </w:pPr>
          </w:p>
        </w:tc>
      </w:tr>
      <w:tr>
        <w:trPr>
          <w:trHeight w:val="297"/>
        </w:trPr>
        <w:tc>
          <w:tcPr>
            <w:tcW w:w="270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7"/>
        </w:trPr>
        <w:tc>
          <w:tcPr>
            <w:tcW w:w="2700" w:type="dxa"/>
            <w:vAlign w:val="bottom"/>
          </w:tcPr>
          <w:p>
            <w:pPr>
              <w:spacing w:after="0"/>
              <w:rPr>
                <w:sz w:val="24"/>
                <w:szCs w:val="24"/>
                <w:color w:val="auto"/>
              </w:rPr>
            </w:pPr>
          </w:p>
        </w:tc>
        <w:tc>
          <w:tcPr>
            <w:tcW w:w="37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0"/>
              </w:rPr>
              <w:t>StemCells, Inc.</w:t>
            </w:r>
          </w:p>
        </w:tc>
        <w:tc>
          <w:tcPr>
            <w:tcW w:w="1440" w:type="dxa"/>
            <w:vAlign w:val="bottom"/>
          </w:tcPr>
          <w:p>
            <w:pPr>
              <w:spacing w:after="0"/>
              <w:rPr>
                <w:sz w:val="24"/>
                <w:szCs w:val="24"/>
                <w:color w:val="auto"/>
              </w:rPr>
            </w:pPr>
          </w:p>
        </w:tc>
      </w:tr>
      <w:tr>
        <w:trPr>
          <w:trHeight w:val="220"/>
        </w:trPr>
        <w:tc>
          <w:tcPr>
            <w:tcW w:w="6400" w:type="dxa"/>
            <w:vAlign w:val="bottom"/>
            <w:gridSpan w:val="3"/>
          </w:tcPr>
          <w:p>
            <w:pPr>
              <w:jc w:val="center"/>
              <w:ind w:left="1850"/>
              <w:spacing w:after="0"/>
              <w:rPr>
                <w:sz w:val="20"/>
                <w:szCs w:val="20"/>
                <w:color w:val="auto"/>
              </w:rPr>
            </w:pPr>
            <w:r>
              <w:rPr>
                <w:rFonts w:ascii="Arial" w:cs="Arial" w:eastAsia="Arial" w:hAnsi="Arial"/>
                <w:sz w:val="18"/>
                <w:szCs w:val="18"/>
                <w:b w:val="1"/>
                <w:bCs w:val="1"/>
                <w:color w:val="auto"/>
                <w:w w:val="90"/>
              </w:rPr>
              <w:t>Amended and Restated 2006 Equity Incentive Plan</w:t>
            </w:r>
          </w:p>
        </w:tc>
        <w:tc>
          <w:tcPr>
            <w:tcW w:w="1440" w:type="dxa"/>
            <w:vAlign w:val="bottom"/>
          </w:tcPr>
          <w:p>
            <w:pPr>
              <w:spacing w:after="0"/>
              <w:rPr>
                <w:sz w:val="19"/>
                <w:szCs w:val="19"/>
                <w:color w:val="auto"/>
              </w:rPr>
            </w:pPr>
          </w:p>
        </w:tc>
      </w:tr>
      <w:tr>
        <w:trPr>
          <w:trHeight w:val="230"/>
        </w:trPr>
        <w:tc>
          <w:tcPr>
            <w:tcW w:w="2700" w:type="dxa"/>
            <w:vAlign w:val="bottom"/>
          </w:tcPr>
          <w:p>
            <w:pPr>
              <w:spacing w:after="0"/>
              <w:rPr>
                <w:sz w:val="20"/>
                <w:szCs w:val="20"/>
                <w:color w:val="auto"/>
              </w:rPr>
            </w:pPr>
          </w:p>
        </w:tc>
        <w:tc>
          <w:tcPr>
            <w:tcW w:w="3700" w:type="dxa"/>
            <w:vAlign w:val="bottom"/>
            <w:gridSpan w:val="2"/>
          </w:tcPr>
          <w:p>
            <w:pPr>
              <w:jc w:val="center"/>
              <w:ind w:right="760"/>
              <w:spacing w:after="0"/>
              <w:rPr>
                <w:sz w:val="20"/>
                <w:szCs w:val="20"/>
                <w:color w:val="auto"/>
              </w:rPr>
            </w:pPr>
            <w:r>
              <w:rPr>
                <w:rFonts w:ascii="Arial" w:cs="Arial" w:eastAsia="Arial" w:hAnsi="Arial"/>
                <w:sz w:val="18"/>
                <w:szCs w:val="18"/>
                <w:color w:val="auto"/>
                <w:w w:val="94"/>
              </w:rPr>
              <w:t>(Full title of the plan)</w:t>
            </w: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Kenneth B. Stratton,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Geoffrey B. Davis,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951-7000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951-7050 (facsimile)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00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r>
      <w:tr>
        <w:trPr>
          <w:trHeight w:val="110"/>
        </w:trPr>
        <w:tc>
          <w:tcPr>
            <w:tcW w:w="500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i w:val="1"/>
                <w:iCs w:val="1"/>
                <w:color w:val="auto"/>
              </w:rPr>
              <w:t>Proposed Maximum</w:t>
            </w:r>
          </w:p>
        </w:tc>
        <w:tc>
          <w:tcPr>
            <w:tcW w:w="1380" w:type="dxa"/>
            <w:vAlign w:val="bottom"/>
            <w:tcBorders>
              <w:right w:val="single" w:sz="8" w:color="auto"/>
            </w:tcBorders>
          </w:tcPr>
          <w:p>
            <w:pPr>
              <w:ind w:left="100"/>
              <w:spacing w:after="0" w:line="110" w:lineRule="exact"/>
              <w:rPr>
                <w:sz w:val="20"/>
                <w:szCs w:val="20"/>
                <w:color w:val="auto"/>
              </w:rPr>
            </w:pPr>
            <w:r>
              <w:rPr>
                <w:rFonts w:ascii="Arial" w:cs="Arial" w:eastAsia="Arial" w:hAnsi="Arial"/>
                <w:sz w:val="12"/>
                <w:szCs w:val="12"/>
                <w:i w:val="1"/>
                <w:iCs w:val="1"/>
                <w:color w:val="auto"/>
              </w:rPr>
              <w:t>Proposed Maximum</w:t>
            </w:r>
          </w:p>
        </w:tc>
        <w:tc>
          <w:tcPr>
            <w:tcW w:w="1180" w:type="dxa"/>
            <w:vAlign w:val="bottom"/>
          </w:tcPr>
          <w:p>
            <w:pPr>
              <w:spacing w:after="0"/>
              <w:rPr>
                <w:sz w:val="9"/>
                <w:szCs w:val="9"/>
                <w:color w:val="auto"/>
              </w:rPr>
            </w:pPr>
          </w:p>
        </w:tc>
      </w:tr>
      <w:tr>
        <w:trPr>
          <w:trHeight w:val="149"/>
        </w:trPr>
        <w:tc>
          <w:tcPr>
            <w:tcW w:w="5000" w:type="dxa"/>
            <w:vAlign w:val="bottom"/>
            <w:tcBorders>
              <w:right w:val="single" w:sz="8" w:color="auto"/>
            </w:tcBorders>
          </w:tcPr>
          <w:p>
            <w:pPr>
              <w:ind w:left="1880"/>
              <w:spacing w:after="0" w:line="149" w:lineRule="exact"/>
              <w:rPr>
                <w:sz w:val="20"/>
                <w:szCs w:val="20"/>
                <w:color w:val="auto"/>
              </w:rPr>
            </w:pPr>
            <w:r>
              <w:rPr>
                <w:rFonts w:ascii="Arial" w:cs="Arial" w:eastAsia="Arial" w:hAnsi="Arial"/>
                <w:sz w:val="14"/>
                <w:szCs w:val="14"/>
                <w:i w:val="1"/>
                <w:iCs w:val="1"/>
                <w:color w:val="auto"/>
              </w:rPr>
              <w:t>Title of Each Class of</w:t>
            </w:r>
          </w:p>
        </w:tc>
        <w:tc>
          <w:tcPr>
            <w:tcW w:w="2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i w:val="1"/>
                <w:iCs w:val="1"/>
                <w:color w:val="auto"/>
                <w:w w:val="91"/>
              </w:rPr>
              <w:t>Amount to be</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i w:val="1"/>
                <w:iCs w:val="1"/>
                <w:color w:val="auto"/>
                <w:w w:val="97"/>
              </w:rPr>
              <w:t>Offering Price Per</w:t>
            </w:r>
          </w:p>
        </w:tc>
        <w:tc>
          <w:tcPr>
            <w:tcW w:w="13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i w:val="1"/>
                <w:iCs w:val="1"/>
                <w:color w:val="auto"/>
              </w:rPr>
              <w:t>Aggregate Offering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Amount of</w:t>
            </w:r>
          </w:p>
        </w:tc>
      </w:tr>
      <w:tr>
        <w:trPr>
          <w:trHeight w:val="174"/>
        </w:trPr>
        <w:tc>
          <w:tcPr>
            <w:tcW w:w="500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i w:val="1"/>
                <w:iCs w:val="1"/>
                <w:color w:val="auto"/>
              </w:rPr>
              <w:t>Securities to be Registered</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Registered(1)(2)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Share(1)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Price(1)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Registration Fee</w:t>
            </w:r>
          </w:p>
        </w:tc>
      </w:tr>
      <w:tr>
        <w:trPr>
          <w:trHeight w:val="223"/>
        </w:trPr>
        <w:tc>
          <w:tcPr>
            <w:tcW w:w="5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5,605,250 shares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$2.315</w:t>
            </w:r>
            <w:r>
              <w:rPr>
                <w:rFonts w:ascii="Arial" w:cs="Arial" w:eastAsia="Arial" w:hAnsi="Arial"/>
                <w:sz w:val="15"/>
                <w:szCs w:val="15"/>
                <w:color w:val="auto"/>
                <w:w w:val="92"/>
              </w:rPr>
              <w:t>(3)</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$12,976,153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$399.00</w:t>
            </w:r>
          </w:p>
        </w:tc>
      </w:tr>
      <w:tr>
        <w:trPr>
          <w:trHeight w:val="223"/>
        </w:trPr>
        <w:tc>
          <w:tcPr>
            <w:tcW w:w="5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25,000 shares</w:t>
            </w:r>
            <w:r>
              <w:rPr>
                <w:rFonts w:ascii="Arial" w:cs="Arial" w:eastAsia="Arial" w:hAnsi="Arial"/>
                <w:sz w:val="15"/>
                <w:szCs w:val="15"/>
                <w:color w:val="auto"/>
                <w:w w:val="87"/>
              </w:rPr>
              <w:t>(4)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$57,000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$1.75</w:t>
            </w:r>
          </w:p>
        </w:tc>
      </w:tr>
      <w:tr>
        <w:trPr>
          <w:trHeight w:val="223"/>
        </w:trPr>
        <w:tc>
          <w:tcPr>
            <w:tcW w:w="5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3,369,750 shares</w:t>
            </w:r>
            <w:r>
              <w:rPr>
                <w:rFonts w:ascii="Arial" w:cs="Arial" w:eastAsia="Arial" w:hAnsi="Arial"/>
                <w:sz w:val="15"/>
                <w:szCs w:val="15"/>
                <w:color w:val="auto"/>
                <w:w w:val="88"/>
              </w:rPr>
              <w:t>(5)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$6,739,500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$207.00</w:t>
            </w:r>
          </w:p>
        </w:tc>
      </w:tr>
      <w:tr>
        <w:trPr>
          <w:trHeight w:val="216"/>
        </w:trPr>
        <w:tc>
          <w:tcPr>
            <w:tcW w:w="5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TOTALS</w:t>
            </w:r>
          </w:p>
        </w:tc>
        <w:tc>
          <w:tcPr>
            <w:tcW w:w="2400" w:type="dxa"/>
            <w:vAlign w:val="bottom"/>
            <w:tcBorders>
              <w:bottom w:val="single" w:sz="8" w:color="auto"/>
              <w:right w:val="single" w:sz="8" w:color="auto"/>
            </w:tcBorders>
          </w:tcPr>
          <w:p>
            <w:pPr>
              <w:jc w:val="right"/>
              <w:ind w:right="756"/>
              <w:spacing w:after="0"/>
              <w:rPr>
                <w:sz w:val="20"/>
                <w:szCs w:val="20"/>
                <w:color w:val="auto"/>
              </w:rPr>
            </w:pPr>
            <w:r>
              <w:rPr>
                <w:rFonts w:ascii="Arial" w:cs="Arial" w:eastAsia="Arial" w:hAnsi="Arial"/>
                <w:sz w:val="18"/>
                <w:szCs w:val="18"/>
                <w:color w:val="auto"/>
              </w:rPr>
              <w:t>9,000,000</w:t>
            </w:r>
          </w:p>
        </w:tc>
        <w:tc>
          <w:tcPr>
            <w:tcW w:w="14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$19,772,653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$607.75</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right="3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this registration statement also covers such additional shares of Common Stock as may be issued to prevent dilution from stock splits, stock dividends and similar transactions.</w:t>
      </w:r>
    </w:p>
    <w:p>
      <w:pPr>
        <w:spacing w:after="0" w:line="21" w:lineRule="exact"/>
        <w:rPr>
          <w:rFonts w:ascii="Arial" w:cs="Arial" w:eastAsia="Arial" w:hAnsi="Arial"/>
          <w:sz w:val="18"/>
          <w:szCs w:val="18"/>
          <w:color w:val="auto"/>
        </w:rPr>
      </w:pPr>
    </w:p>
    <w:p>
      <w:pPr>
        <w:ind w:left="460" w:right="160" w:hanging="452"/>
        <w:spacing w:after="0" w:line="29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(i) 6,000,000 shares of Common Stock authorized for issuance under the Amended and Restated 2006 Equity Incentive Plan of StemCells, Inc. (the “2006 Incentive Plan”), less shares of common stock reserved for issuance pursuant to options previously granted under the 2006 Incentive Plan, plus (ii) up to an additional 3,000,000 shares of Common Stock that may be added pursuant to the “evergreen” provision contained in the 2006 Incentive Plan. The “evergreen” provision provides that on each January 1 (beginning January 1, 2008) an additional number of shares equal to 4% of then-outstanding shares of the Registrant will be added to the shares authorized for issuance under the 2006 Incentive Plan.</w:t>
      </w:r>
    </w:p>
    <w:p>
      <w:pPr>
        <w:sectPr>
          <w:pgSz w:w="11900" w:h="16860" w:orient="portrait"/>
          <w:cols w:equalWidth="0" w:num="1">
            <w:col w:w="11420"/>
          </w:cols>
          <w:pgMar w:left="240" w:top="122" w:right="239" w:bottom="0" w:gutter="0" w:footer="0" w:header="0"/>
        </w:sectPr>
      </w:pPr>
    </w:p>
    <w:bookmarkStart w:id="2" w:name="page3"/>
    <w:bookmarkEnd w:id="2"/>
    <w:p>
      <w:pPr>
        <w:ind w:left="452" w:hanging="452"/>
        <w:spacing w:after="0"/>
        <w:tabs>
          <w:tab w:leader="none" w:pos="45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offering price of $2.315 per share has been estimated solely for the purpose of determining the registration fee pursuant to Rule 457(c) and 457(h)</w:t>
      </w:r>
    </w:p>
    <w:p>
      <w:pPr>
        <w:spacing w:after="0" w:line="46"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7"/>
          <w:szCs w:val="17"/>
          <w:color w:val="auto"/>
        </w:rPr>
        <w:t>(1) on the basis of the average high and low prices of the common stock, par value $0.01 per share, as reported on the Nasdaq Global Market on</w:t>
      </w:r>
    </w:p>
    <w:p>
      <w:pPr>
        <w:spacing w:after="0" w:line="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July 18, 2007.</w:t>
      </w:r>
    </w:p>
    <w:p>
      <w:pPr>
        <w:spacing w:after="0" w:line="62" w:lineRule="exact"/>
        <w:rPr>
          <w:sz w:val="20"/>
          <w:szCs w:val="20"/>
          <w:color w:val="auto"/>
        </w:rPr>
      </w:pPr>
    </w:p>
    <w:p>
      <w:pPr>
        <w:ind w:left="452" w:right="480" w:hanging="452"/>
        <w:spacing w:after="0" w:line="277"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upon the exercise of options previously granted under the 2006 Incentive Plan with an exercise price of $2.28 per share.</w:t>
      </w:r>
    </w:p>
    <w:p>
      <w:pPr>
        <w:spacing w:after="0" w:line="21"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upon the exercise of options and stock appreciation rights with an exercise price of $2.00 per right previously granted under the 2006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535305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PART I INFORMATION REQUIRED IN THE SECTION 10(a) PROSPECTUS</w:t>
        </w:r>
      </w:hyperlink>
    </w:p>
    <w:p>
      <w:pPr>
        <w:spacing w:after="0" w:line="43" w:lineRule="exact"/>
        <w:rPr>
          <w:sz w:val="20"/>
          <w:szCs w:val="20"/>
          <w:color w:val="auto"/>
        </w:rPr>
      </w:pPr>
    </w:p>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PART II INFORMATION REQUIRED IN THE REGISTRATION STATEMENT</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4.1</w:t>
      </w:r>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rPr>
          <w:sz w:val="20"/>
          <w:szCs w:val="20"/>
          <w:color w:val="auto"/>
        </w:rPr>
      </w:pPr>
      <w:r>
        <w:rPr>
          <w:rFonts w:ascii="Arial" w:cs="Arial" w:eastAsia="Arial" w:hAnsi="Arial"/>
          <w:sz w:val="22"/>
          <w:szCs w:val="22"/>
          <w:u w:val="single" w:color="auto"/>
          <w:color w:val="0000EE"/>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Note: The document(s) containing the information required by Item 1 of Part I of this Form S-8 and the statement of availability of information of StemCells, Inc. (the “Registrant”), and other information required by Item 2 of Part I of this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The Registrant shall maintain a file of such documents in accordance with the provisions of Rule 428. Upon request, the Registrant shall furnish to the Commission or its staff a copy or copies of any or all of the documents included in such file.</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Registrant hereby incorporates the following documents herein by reference:</w:t>
      </w:r>
    </w:p>
    <w:p>
      <w:pPr>
        <w:spacing w:after="0" w:line="117" w:lineRule="exact"/>
        <w:rPr>
          <w:sz w:val="20"/>
          <w:szCs w:val="20"/>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latest Annual Report on Form 10-K for the fiscal year ended December 31, 2006 filed with the Commission pursuant to the Securities Exchange Act of 1934, as amended (the “Exchange Act”), on March 15, 2007.</w:t>
      </w:r>
    </w:p>
    <w:p>
      <w:pPr>
        <w:spacing w:after="0" w:line="75" w:lineRule="exact"/>
        <w:rPr>
          <w:rFonts w:ascii="Arial" w:cs="Arial" w:eastAsia="Arial" w:hAnsi="Arial"/>
          <w:sz w:val="18"/>
          <w:szCs w:val="18"/>
          <w:color w:val="auto"/>
        </w:rPr>
      </w:pPr>
    </w:p>
    <w:p>
      <w:pPr>
        <w:ind w:left="660" w:right="6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2007 filed with the Commission pursuant to the Exchange Act on May 7, 2007.</w:t>
      </w:r>
    </w:p>
    <w:p>
      <w:pPr>
        <w:spacing w:after="0" w:line="75" w:lineRule="exact"/>
        <w:rPr>
          <w:rFonts w:ascii="Arial" w:cs="Arial" w:eastAsia="Arial" w:hAnsi="Arial"/>
          <w:sz w:val="18"/>
          <w:szCs w:val="18"/>
          <w:color w:val="auto"/>
        </w:rPr>
      </w:pPr>
    </w:p>
    <w:p>
      <w:pPr>
        <w:ind w:left="660" w:right="32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12, 2007 and on May 7, 2007 (information reported under Item 5.03 only).</w:t>
      </w:r>
    </w:p>
    <w:p>
      <w:pPr>
        <w:spacing w:after="0" w:line="75"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common stock of the Registrant contained in the Registrant’s Registration Statement on Form 8-A (File No. 1-19871), including all amendments and reports filed for the purposes of updating such description.</w:t>
      </w:r>
    </w:p>
    <w:p>
      <w:pPr>
        <w:spacing w:after="0" w:line="62" w:lineRule="exact"/>
        <w:rPr>
          <w:sz w:val="20"/>
          <w:szCs w:val="20"/>
          <w:color w:val="auto"/>
        </w:rPr>
      </w:pPr>
    </w:p>
    <w:p>
      <w:pPr>
        <w:ind w:right="140" w:firstLine="215"/>
        <w:spacing w:after="0" w:line="264"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prior to the filing of a post-effective amendment to this Registration Statement that indicates that all securities offered have been sold or which deregisters all securities then remaining unsold, shall be deemed to be incorporated herein by reference from the date of filing of such documents.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The Registrant is incorporated under the laws of the State of Delaware. Section 145 (“Section 145”) of the General Corporation Law of the State of Delaware, as the same exists or may hereafter be amended (the “General Corporation Law”) provides, inter alia,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conduct was illegal. In addition, the statutes of Delaware contain provisions to the general effect that any director shall in the performance of his duties be fully protected in relying in good faith upon the books of account or records of the corporation or statements prepared by any official of the corporation.</w:t>
      </w:r>
    </w:p>
    <w:p>
      <w:pPr>
        <w:spacing w:after="0" w:line="61" w:lineRule="exact"/>
        <w:rPr>
          <w:sz w:val="20"/>
          <w:szCs w:val="20"/>
          <w:color w:val="auto"/>
        </w:rPr>
      </w:pPr>
    </w:p>
    <w:p>
      <w:pPr>
        <w:jc w:val="both"/>
        <w:ind w:right="300" w:firstLine="225"/>
        <w:spacing w:after="0" w:line="259"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arising out of his status as such, whether or not the corporation would otherwise have the power to indemnify him under Section 145.</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Section 2802 of the California Labor Code generally requires employers to indemnify employees for all necessary expenditures or losses, including but not limited to attorney’s fees, incurred by the employee in direct consequence of the employee’s discharge of his or her duties.</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Registrant’s restated certificate of incorporation provides that the registrant shall indemnify its directors and officers to the full extent permitted by the laws of the State of Delaware. The Registrant’s restated certificate of incorporation provides that the registrant’s directors and officers shall not be liable to the registrant or its stockholders for monetary damages for breach of fiduciary duty as a director, except to the extent that the exculpation from liabilities is not permitted under the General Corporation Law as in effect at the time such liability is determined. The Registrant’s By-laws provide that the Registrant shall indemnify its directors and officers to the extent permitted by the General Corporation Law of the State of Delaware and that directors may reasonably rely upon the books and records of the Registrant as well as upon the opinions, reports and statements presented to the directors by Registrant’s officers, employees, consultants and other advisors.</w:t>
      </w:r>
    </w:p>
    <w:p>
      <w:pPr>
        <w:spacing w:after="0" w:line="81"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All of the Registrant’s directors and officers are covered by insurance policies maintained by the Registrant against specified liabilities for actions taken in their capacities as such, including liabilities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3810</wp:posOffset>
            </wp:positionV>
            <wp:extent cx="368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2"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Amended and Restated 2006 Equity Incentive Plan.</w:t>
      </w:r>
    </w:p>
    <w:p>
      <w:pPr>
        <w:spacing w:after="0" w:line="225"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Ropes &amp; Gray LLP.</w:t>
      </w:r>
    </w:p>
    <w:p>
      <w:pPr>
        <w:spacing w:after="0" w:line="225"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w:t>
      </w:r>
    </w:p>
    <w:p>
      <w:pPr>
        <w:spacing w:after="0" w:line="225"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Ropes &amp; Gray LLP (included in the opinion filed as Exhibit 5.1).</w:t>
      </w:r>
    </w:p>
    <w:p>
      <w:pPr>
        <w:spacing w:after="0" w:line="225"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of this Registration Statement under the caption “Power of Attorney”).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80" w:hanging="438"/>
        <w:spacing w:after="0"/>
        <w:tabs>
          <w:tab w:leader="none" w:pos="158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580" w:hanging="438"/>
        <w:spacing w:after="0" w:line="272" w:lineRule="auto"/>
        <w:tabs>
          <w:tab w:leader="none" w:pos="1580"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580" w:hanging="438"/>
        <w:spacing w:after="0" w:line="277" w:lineRule="auto"/>
        <w:tabs>
          <w:tab w:leader="none" w:pos="158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shall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Commission by the Registrant pursuant to Section 13 or 15(d) of the Exchange Act that are incorporated by reference in the Registration Statement.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20" w:right="6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86" w:lineRule="exact"/>
        <w:rPr>
          <w:rFonts w:ascii="Arial" w:cs="Arial" w:eastAsia="Arial" w:hAnsi="Arial"/>
          <w:sz w:val="18"/>
          <w:szCs w:val="18"/>
          <w:color w:val="auto"/>
        </w:rPr>
      </w:pPr>
    </w:p>
    <w:p>
      <w:pPr>
        <w:ind w:left="1120" w:right="54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660" w:hanging="436"/>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93" w:lineRule="exact"/>
        <w:rPr>
          <w:rFonts w:ascii="Arial" w:cs="Arial" w:eastAsia="Arial" w:hAnsi="Arial"/>
          <w:sz w:val="18"/>
          <w:szCs w:val="18"/>
          <w:color w:val="auto"/>
        </w:rPr>
      </w:pPr>
    </w:p>
    <w:p>
      <w:pPr>
        <w:ind w:left="660" w:right="160" w:hanging="436"/>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Palo Alto, California, on this 20th day of July, 2007.</w:t>
      </w:r>
    </w:p>
    <w:p>
      <w:pPr>
        <w:spacing w:after="0" w:line="17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14605</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Martin M. McGlynn</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Each person whose signature appears below constitutes and appoints Martin M. McGlynn and Rodney K.B. Young,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to be filed by StemCells,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580" w:type="dxa"/>
            <w:vAlign w:val="bottom"/>
          </w:tcPr>
          <w:p>
            <w:pPr>
              <w:spacing w:after="0"/>
              <w:rPr>
                <w:sz w:val="14"/>
                <w:szCs w:val="1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56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w:t>
            </w: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M. McGlynn</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9,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Martin M. McGlynn</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K.B. Young</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July 11,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Rodney K.B. Young</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Koshy</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Accounting Officer (Principal Accounting Officer)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July 11,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George Koshy</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J. Schwartz, Ph.D</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6,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John J. Schwartz, Ph.D</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H. Bjerkholt</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July 10,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Eric H. Bjerkholt</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Ricardo B. Levy, Ph.D</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8,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Ricardo B. Levy, Ph.D</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M. Perlmutter M.D., Ph.D.</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July 10,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Desmond H. O’Connell, Jr.</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9,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Desmond H. O’Connell, Jr.</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Irving L. Weissman, M.D.</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6, 2007</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Irving L. Weissman, M.D.</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31"/>
        </w:trPr>
        <w:tc>
          <w:tcPr>
            <w:tcW w:w="45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Amended and Restated 2006 Equity Incentive Plan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Ropes &amp; Gray LLP.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Ropes &amp; Gray LLP (included in the opinion filed as Exhibit 5.1).</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of this Registration Statement under the caption “Power of Attorney”).</w:t>
      </w:r>
    </w:p>
    <w:p>
      <w:pPr>
        <w:sectPr>
          <w:pgSz w:w="11900" w:h="16838" w:orient="portrait"/>
          <w:cols w:equalWidth="0" w:num="1">
            <w:col w:w="10219"/>
          </w:cols>
          <w:pgMar w:left="240" w:top="419"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9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7"/>
          <w:szCs w:val="17"/>
          <w:color w:val="auto"/>
        </w:rPr>
        <w:t>Exhibit A, which is incorporated by reference, defines the terms used in the Plan and sets forth certain operational rules related to those terms.</w:t>
      </w:r>
    </w:p>
    <w:p>
      <w:pPr>
        <w:spacing w:after="0" w:line="124" w:lineRule="exact"/>
        <w:rPr>
          <w:rFonts w:ascii="Arial" w:cs="Arial" w:eastAsia="Arial" w:hAnsi="Arial"/>
          <w:sz w:val="18"/>
          <w:szCs w:val="18"/>
          <w:b w:val="1"/>
          <w:bCs w:val="1"/>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Plan has been established to advance the interests of the Company by providing for the grant to Participants of Stock-based and other incentive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w:t>
      </w:r>
    </w:p>
    <w:p>
      <w:pPr>
        <w:spacing w:after="0" w:line="12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and otherwise do all things necessary to carry out the purposes of the Plan. In the case of any Award intended to be eligible for the performance-based compensation exception under Section 162(m), the Administrator will exercise its discretion consistent with qualifying the Award for that exception. Determinations of the Administrator made under the Plan will be conclusive and will bind all parties.</w:t>
      </w:r>
    </w:p>
    <w:p>
      <w:pPr>
        <w:spacing w:after="0" w:line="7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117" w:lineRule="exact"/>
        <w:rPr>
          <w:rFonts w:ascii="Arial" w:cs="Arial" w:eastAsia="Arial" w:hAnsi="Arial"/>
          <w:sz w:val="18"/>
          <w:szCs w:val="18"/>
          <w:b w:val="1"/>
          <w:bCs w:val="1"/>
          <w:color w:val="auto"/>
        </w:rPr>
      </w:pPr>
    </w:p>
    <w:p>
      <w:pPr>
        <w:ind w:firstLine="233"/>
        <w:spacing w:after="0" w:line="271" w:lineRule="auto"/>
        <w:tabs>
          <w:tab w:leader="none" w:pos="660"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Shares</w:t>
      </w:r>
      <w:r>
        <w:rPr>
          <w:rFonts w:ascii="Arial" w:cs="Arial" w:eastAsia="Arial" w:hAnsi="Arial"/>
          <w:sz w:val="17"/>
          <w:szCs w:val="17"/>
          <w:color w:val="auto"/>
        </w:rPr>
        <w:t>. The maximum number of shares of Stock that may be delivered in satisfaction of Awards under the Plan is equal to six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(6,000,000) plus an annual increase on each January 1 (beginning January 1, 2008) equal to four percent (4%) of the number of then outstanding shares of Stock. Notwithstanding the preceding sentence, no more than thirty million (30,000,000) shares of Stock may be delivered in satisfaction of ISOs awarded under the Plan. The number of shares of Stock delivered in satisfaction of Awards shall, for purposes of the preceding sentence, be determined net of shares of Stock withheld by the Company in payment of the exercise price of the Award or in satisfaction of tax withholding requirements with respect to the Award. The limit set forth in this Section 4(a) shall be construed to comply with Section 422 of the Code and regulations thereunder. To the extent consistent with the requirements of Section 422 of the Code and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available for Awards under the Plan.</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right="200" w:firstLine="233"/>
        <w:spacing w:after="0" w:line="282" w:lineRule="auto"/>
        <w:tabs>
          <w:tab w:leader="none" w:pos="67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Type of Shares</w:t>
      </w:r>
      <w:r>
        <w:rPr>
          <w:rFonts w:ascii="Arial" w:cs="Arial" w:eastAsia="Arial" w:hAnsi="Arial"/>
          <w:sz w:val="18"/>
          <w:szCs w:val="18"/>
          <w:color w:val="auto"/>
        </w:rPr>
        <w:t>. Stock delivered by the Company under the Plan may be authorized but unissued Stock or previously issued Stock acquired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No fractional shares of Stock will be delivered under the Plan.</w:t>
      </w:r>
    </w:p>
    <w:p>
      <w:pPr>
        <w:spacing w:after="0" w:line="53" w:lineRule="exact"/>
        <w:rPr>
          <w:rFonts w:ascii="Arial" w:cs="Arial" w:eastAsia="Arial" w:hAnsi="Arial"/>
          <w:sz w:val="18"/>
          <w:szCs w:val="18"/>
          <w:b w:val="1"/>
          <w:bCs w:val="1"/>
          <w:color w:val="auto"/>
        </w:rPr>
      </w:pPr>
    </w:p>
    <w:p>
      <w:pPr>
        <w:ind w:right="220" w:firstLine="233"/>
        <w:spacing w:after="0" w:line="258" w:lineRule="auto"/>
        <w:tabs>
          <w:tab w:leader="none" w:pos="65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162(m) Limits</w:t>
      </w:r>
      <w:r>
        <w:rPr>
          <w:rFonts w:ascii="Arial" w:cs="Arial" w:eastAsia="Arial" w:hAnsi="Arial"/>
          <w:sz w:val="18"/>
          <w:szCs w:val="18"/>
          <w:color w:val="auto"/>
        </w:rPr>
        <w:t>. The maximum number of shares of Stock for which Stock Options may be granted to any person in any calendar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number of shares of Stock subject to SARs granted to any person in any calendar year will each be one million (1,000,000). The maximum number of shares subject to other Awards granted to any person in any calendar year will be one million (1,000,000). The maximum amount payable to any person in any year under Cash Awards will be one million dollars ($1,000,000). The foregoing provisions will be construed in a manner consistent with Section 162(m).</w:t>
      </w:r>
    </w:p>
    <w:p>
      <w:pPr>
        <w:spacing w:after="0" w:line="75" w:lineRule="exact"/>
        <w:rPr>
          <w:rFonts w:ascii="Arial" w:cs="Arial" w:eastAsia="Arial" w:hAnsi="Arial"/>
          <w:sz w:val="18"/>
          <w:szCs w:val="18"/>
          <w:b w:val="1"/>
          <w:bCs w:val="1"/>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Administrator will select Participants from among those Employees and directors of, and consultants and advisors to, the Company or its Affiliates who, in the opinion of the Administrator, are in a position to make a significant contribution to the success of the Company and its Affiliates. Eligibility for ISOs is limited to employees of the Company or of a “parent corporation” or “subsidiary corporation” of the Company as those terms are defined in Section 424 of the Code.</w:t>
      </w:r>
    </w:p>
    <w:p>
      <w:pPr>
        <w:spacing w:after="0" w:line="7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117" w:lineRule="exact"/>
        <w:rPr>
          <w:rFonts w:ascii="Arial" w:cs="Arial" w:eastAsia="Arial" w:hAnsi="Arial"/>
          <w:sz w:val="18"/>
          <w:szCs w:val="18"/>
          <w:b w:val="1"/>
          <w:bCs w:val="1"/>
          <w:color w:val="auto"/>
        </w:rPr>
      </w:pPr>
    </w:p>
    <w:p>
      <w:pPr>
        <w:ind w:left="660" w:hanging="427"/>
        <w:spacing w:after="0"/>
        <w:tabs>
          <w:tab w:leader="none" w:pos="66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w:t>
      </w:r>
    </w:p>
    <w:p>
      <w:pPr>
        <w:spacing w:after="0" w:line="117" w:lineRule="exact"/>
        <w:rPr>
          <w:rFonts w:ascii="Arial" w:cs="Arial" w:eastAsia="Arial" w:hAnsi="Arial"/>
          <w:sz w:val="18"/>
          <w:szCs w:val="18"/>
          <w:b w:val="1"/>
          <w:bCs w:val="1"/>
          <w:color w:val="auto"/>
        </w:rPr>
      </w:pPr>
    </w:p>
    <w:p>
      <w:pPr>
        <w:ind w:right="40" w:firstLine="458"/>
        <w:spacing w:after="0" w:line="261" w:lineRule="auto"/>
        <w:tabs>
          <w:tab w:leader="none" w:pos="885"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Provisions</w:t>
      </w:r>
      <w:r>
        <w:rPr>
          <w:rFonts w:ascii="Arial" w:cs="Arial" w:eastAsia="Arial" w:hAnsi="Arial"/>
          <w:sz w:val="18"/>
          <w:szCs w:val="18"/>
          <w:color w:val="auto"/>
        </w:rPr>
        <w:t>. The Administrator will determine the terms of all Awards, subject to the limitations provided herein. By accepting any Award</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hereunder, the Participant agrees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71" w:lineRule="exact"/>
        <w:rPr>
          <w:rFonts w:ascii="Arial" w:cs="Arial" w:eastAsia="Arial" w:hAnsi="Arial"/>
          <w:sz w:val="18"/>
          <w:szCs w:val="18"/>
          <w:b w:val="1"/>
          <w:bCs w:val="1"/>
          <w:color w:val="auto"/>
        </w:rPr>
      </w:pPr>
    </w:p>
    <w:p>
      <w:pPr>
        <w:ind w:left="940" w:hanging="482"/>
        <w:spacing w:after="0"/>
        <w:tabs>
          <w:tab w:leader="none" w:pos="940" w:val="left"/>
        </w:tabs>
        <w:numPr>
          <w:ilvl w:val="2"/>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of Plan</w:t>
      </w:r>
      <w:r>
        <w:rPr>
          <w:rFonts w:ascii="Arial" w:cs="Arial" w:eastAsia="Arial" w:hAnsi="Arial"/>
          <w:sz w:val="16"/>
          <w:szCs w:val="16"/>
          <w:color w:val="auto"/>
        </w:rPr>
        <w:t>. No Awards may be made after June 20, 2016, but previously granted Awards may continue beyond that date in accordance with</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their terms.</w:t>
      </w:r>
    </w:p>
    <w:p>
      <w:pPr>
        <w:spacing w:after="0" w:line="98" w:lineRule="exact"/>
        <w:rPr>
          <w:rFonts w:ascii="Arial" w:cs="Arial" w:eastAsia="Arial" w:hAnsi="Arial"/>
          <w:sz w:val="16"/>
          <w:szCs w:val="16"/>
          <w:b w:val="1"/>
          <w:bCs w:val="1"/>
          <w:color w:val="auto"/>
        </w:rPr>
      </w:pPr>
    </w:p>
    <w:p>
      <w:pPr>
        <w:jc w:val="both"/>
        <w:ind w:right="80" w:firstLine="458"/>
        <w:spacing w:after="0" w:line="266" w:lineRule="auto"/>
        <w:tabs>
          <w:tab w:leader="none" w:pos="885"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 Neither ISOs nor, except as the Administrator otherwise expressly provides, other Awards may be transferred other than by will</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 laws of descent and distribution, and during a Participant’s lifetime ISOs (and, except as the Administrator otherwise expressly provides, other non-transferable Awards requiring exercise) may be exercised only by the Participant.</w:t>
      </w:r>
    </w:p>
    <w:p>
      <w:pPr>
        <w:spacing w:after="0" w:line="68" w:lineRule="exact"/>
        <w:rPr>
          <w:rFonts w:ascii="Arial" w:cs="Arial" w:eastAsia="Arial" w:hAnsi="Arial"/>
          <w:sz w:val="18"/>
          <w:szCs w:val="18"/>
          <w:b w:val="1"/>
          <w:bCs w:val="1"/>
          <w:color w:val="auto"/>
        </w:rPr>
      </w:pPr>
    </w:p>
    <w:p>
      <w:pPr>
        <w:ind w:right="20" w:firstLine="458"/>
        <w:spacing w:after="0" w:line="258" w:lineRule="auto"/>
        <w:tabs>
          <w:tab w:leader="none" w:pos="885"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Etc.</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may determine the time or times at which an Award will vest or become exercisable and the terms on which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requiring exercise will remain exercisable. Without limiting the foregoing, the Administrator may at any time accelerate the vesting or exercisability of an Award, regardless of any adverse or potentially adverse tax consequences resulting from such acceleration. Unless the Administrator expressly provides otherwise, however, the following rules will apply: immediately upon the cessation of the Participant’s Employment, each Award requiring exercise that is then held by the Participant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right="180"/>
        <w:spacing w:after="0" w:line="277" w:lineRule="auto"/>
        <w:rPr>
          <w:sz w:val="20"/>
          <w:szCs w:val="20"/>
          <w:color w:val="auto"/>
        </w:rPr>
      </w:pPr>
      <w:r>
        <w:rPr>
          <w:rFonts w:ascii="Arial" w:cs="Arial" w:eastAsia="Arial" w:hAnsi="Arial"/>
          <w:sz w:val="18"/>
          <w:szCs w:val="18"/>
          <w:color w:val="auto"/>
        </w:rPr>
        <w:t>or by the Participant’s permitted transferees, if any, will cease to be exercisable and will terminate, and all other Awards that are then held by the Participant or by the Participant’s permitted transferees, if any, to the extent not already vested will be forfeited, except that:</w:t>
      </w:r>
    </w:p>
    <w:p>
      <w:pPr>
        <w:spacing w:after="0" w:line="62" w:lineRule="exact"/>
        <w:rPr>
          <w:sz w:val="20"/>
          <w:szCs w:val="20"/>
          <w:color w:val="auto"/>
        </w:rPr>
      </w:pPr>
    </w:p>
    <w:p>
      <w:pPr>
        <w:ind w:left="1140" w:right="240" w:firstLine="234"/>
        <w:spacing w:after="0" w:line="291" w:lineRule="auto"/>
        <w:tabs>
          <w:tab w:leader="none" w:pos="1840" w:val="left"/>
        </w:tabs>
        <w:numPr>
          <w:ilvl w:val="2"/>
          <w:numId w:val="13"/>
        </w:numPr>
        <w:rPr>
          <w:rFonts w:ascii="Arial" w:cs="Arial" w:eastAsia="Arial" w:hAnsi="Arial"/>
          <w:sz w:val="16"/>
          <w:szCs w:val="16"/>
          <w:color w:val="auto"/>
        </w:rPr>
      </w:pPr>
      <w:r>
        <w:rPr>
          <w:rFonts w:ascii="Arial" w:cs="Arial" w:eastAsia="Arial" w:hAnsi="Arial"/>
          <w:sz w:val="16"/>
          <w:szCs w:val="16"/>
          <w:color w:val="auto"/>
        </w:rPr>
        <w:t>subject to (B) and (C) below, all Stock Options and SARs held by the Participant or the Participant’s permitted transferees, if any, immediately prior to the cessation of the Participant’s Employment, to the extent then exercisable, will remain exercisable for the lesser of</w:t>
      </w:r>
    </w:p>
    <w:p>
      <w:pPr>
        <w:ind w:left="1140" w:right="60" w:firstLine="9"/>
        <w:spacing w:after="0" w:line="261" w:lineRule="auto"/>
        <w:tabs>
          <w:tab w:leader="none" w:pos="13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period of three months or (ii) the period ending on the latest date on which such Stock Option or SAR could have been exercised without regard to this Section 6(a)(4), and will thereupon terminate;</w:t>
      </w:r>
    </w:p>
    <w:p>
      <w:pPr>
        <w:spacing w:after="0" w:line="75" w:lineRule="exact"/>
        <w:rPr>
          <w:rFonts w:ascii="Arial" w:cs="Arial" w:eastAsia="Arial" w:hAnsi="Arial"/>
          <w:sz w:val="18"/>
          <w:szCs w:val="18"/>
          <w:color w:val="auto"/>
        </w:rPr>
      </w:pPr>
    </w:p>
    <w:p>
      <w:pPr>
        <w:ind w:left="1140" w:right="660" w:firstLine="234"/>
        <w:spacing w:after="0" w:line="279" w:lineRule="auto"/>
        <w:tabs>
          <w:tab w:leader="none" w:pos="1830" w:val="left"/>
        </w:tabs>
        <w:numPr>
          <w:ilvl w:val="2"/>
          <w:numId w:val="14"/>
        </w:numPr>
        <w:rPr>
          <w:rFonts w:ascii="Arial" w:cs="Arial" w:eastAsia="Arial" w:hAnsi="Arial"/>
          <w:sz w:val="17"/>
          <w:szCs w:val="17"/>
          <w:color w:val="auto"/>
        </w:rPr>
      </w:pPr>
      <w:r>
        <w:rPr>
          <w:rFonts w:ascii="Arial" w:cs="Arial" w:eastAsia="Arial" w:hAnsi="Arial"/>
          <w:sz w:val="17"/>
          <w:szCs w:val="17"/>
          <w:color w:val="auto"/>
        </w:rPr>
        <w:t>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Section 6(a)(4), and will thereupon terminate; and</w:t>
      </w:r>
    </w:p>
    <w:p>
      <w:pPr>
        <w:spacing w:after="0" w:line="63" w:lineRule="exact"/>
        <w:rPr>
          <w:rFonts w:ascii="Arial" w:cs="Arial" w:eastAsia="Arial" w:hAnsi="Arial"/>
          <w:sz w:val="17"/>
          <w:szCs w:val="17"/>
          <w:color w:val="auto"/>
        </w:rPr>
      </w:pPr>
    </w:p>
    <w:p>
      <w:pPr>
        <w:ind w:left="1140" w:right="40" w:firstLine="234"/>
        <w:spacing w:after="0" w:line="259" w:lineRule="auto"/>
        <w:tabs>
          <w:tab w:leader="none" w:pos="183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all Stock Options and SARs held by a Participant or the Participant’s permitted transferees, if any, immediately prior to the cessation of the Participant’s Employment will immediately terminate upon such cessation if the Administrator in its sole discretion determines that such cessation of Employment has resulted for reasons which cast such discredit on the Participant as to justify immediate termination of the Award.</w:t>
      </w:r>
    </w:p>
    <w:p>
      <w:pPr>
        <w:spacing w:after="0" w:line="74" w:lineRule="exact"/>
        <w:rPr>
          <w:rFonts w:ascii="Arial" w:cs="Arial" w:eastAsia="Arial" w:hAnsi="Arial"/>
          <w:sz w:val="18"/>
          <w:szCs w:val="18"/>
          <w:color w:val="auto"/>
        </w:rPr>
      </w:pPr>
    </w:p>
    <w:p>
      <w:pPr>
        <w:ind w:right="20" w:firstLine="458"/>
        <w:spacing w:after="0" w:line="266" w:lineRule="auto"/>
        <w:tabs>
          <w:tab w:leader="none" w:pos="88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Administrator will make such provision for the withholding of taxes as it deems necessary. The Administrator may, but need not, hold</w:t>
      </w:r>
      <w:r>
        <w:rPr>
          <w:rFonts w:ascii="Arial" w:cs="Arial" w:eastAsia="Arial" w:hAnsi="Arial"/>
          <w:sz w:val="18"/>
          <w:szCs w:val="18"/>
          <w:b w:val="1"/>
          <w:bCs w:val="1"/>
          <w:color w:val="auto"/>
        </w:rPr>
        <w:t xml:space="preserve"> </w:t>
      </w:r>
      <w:r>
        <w:rPr>
          <w:rFonts w:ascii="Arial" w:cs="Arial" w:eastAsia="Arial" w:hAnsi="Arial"/>
          <w:sz w:val="18"/>
          <w:szCs w:val="18"/>
          <w:color w:val="auto"/>
        </w:rPr>
        <w:t>back shares of Stock from an Award or permit a Participant to tender previously owned shares of Stock in satisfaction of tax withholding requirements (but not in excess of the minimum withholding required by law).</w:t>
      </w:r>
    </w:p>
    <w:p>
      <w:pPr>
        <w:spacing w:after="0" w:line="68" w:lineRule="exact"/>
        <w:rPr>
          <w:rFonts w:ascii="Arial" w:cs="Arial" w:eastAsia="Arial" w:hAnsi="Arial"/>
          <w:sz w:val="18"/>
          <w:szCs w:val="18"/>
          <w:b w:val="1"/>
          <w:bCs w:val="1"/>
          <w:color w:val="auto"/>
        </w:rPr>
      </w:pPr>
    </w:p>
    <w:p>
      <w:pPr>
        <w:jc w:val="both"/>
        <w:ind w:right="300" w:firstLine="458"/>
        <w:spacing w:after="0" w:line="266" w:lineRule="auto"/>
        <w:tabs>
          <w:tab w:leader="none" w:pos="93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 Etc.</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may provide for the payment of amounts in lieu of cash dividends or other cash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Stock subject to an Award. Any entitlement to dividend equivalents or similar entitlements shall be established and administered consistent either with exemption from, or compliance with, the requirements of Section 409A to the extent applicable.</w:t>
      </w:r>
    </w:p>
    <w:p>
      <w:pPr>
        <w:spacing w:after="0" w:line="68" w:lineRule="exact"/>
        <w:rPr>
          <w:rFonts w:ascii="Arial" w:cs="Arial" w:eastAsia="Arial" w:hAnsi="Arial"/>
          <w:sz w:val="18"/>
          <w:szCs w:val="18"/>
          <w:b w:val="1"/>
          <w:bCs w:val="1"/>
          <w:color w:val="auto"/>
        </w:rPr>
      </w:pPr>
    </w:p>
    <w:p>
      <w:pPr>
        <w:jc w:val="both"/>
        <w:ind w:right="140" w:firstLine="458"/>
        <w:spacing w:after="0" w:line="261" w:lineRule="auto"/>
        <w:tabs>
          <w:tab w:leader="none" w:pos="88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Limited</w:t>
      </w:r>
      <w:r>
        <w:rPr>
          <w:rFonts w:ascii="Arial" w:cs="Arial" w:eastAsia="Arial" w:hAnsi="Arial"/>
          <w:sz w:val="18"/>
          <w:szCs w:val="18"/>
          <w:color w:val="auto"/>
        </w:rPr>
        <w:t>. Nothing in the Plan will be construed as giving any person the right to continued employment or service with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Affiliate to the Participant.</w:t>
      </w:r>
    </w:p>
    <w:p>
      <w:pPr>
        <w:spacing w:after="0" w:line="71" w:lineRule="exact"/>
        <w:rPr>
          <w:rFonts w:ascii="Arial" w:cs="Arial" w:eastAsia="Arial" w:hAnsi="Arial"/>
          <w:sz w:val="18"/>
          <w:szCs w:val="18"/>
          <w:b w:val="1"/>
          <w:bCs w:val="1"/>
          <w:color w:val="auto"/>
        </w:rPr>
      </w:pPr>
    </w:p>
    <w:p>
      <w:pPr>
        <w:ind w:right="300" w:firstLine="458"/>
        <w:spacing w:after="0" w:line="313" w:lineRule="auto"/>
        <w:tabs>
          <w:tab w:leader="none" w:pos="885"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162(m)</w:t>
      </w:r>
      <w:r>
        <w:rPr>
          <w:rFonts w:ascii="Arial" w:cs="Arial" w:eastAsia="Arial" w:hAnsi="Arial"/>
          <w:sz w:val="17"/>
          <w:szCs w:val="17"/>
          <w:color w:val="auto"/>
        </w:rPr>
        <w:t>. This Section 6(a)(8) applies to any Performance Award intended to qualify as performance-based for the purposes of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162(m) other than a Stock Option or SAR. In the case of any Performance Award to which this Section 6(a)(8) applies, the</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6"/>
          <w:szCs w:val="16"/>
          <w:color w:val="auto"/>
        </w:rPr>
        <w:t>Plan and such Award will be construed to the maximum extent permitted by law in a manner consistent with qualifying the Award for such exception. With respect to such Performance Awards, the Administrator will pre-establish, in writing, one or more specific Performance Criteria no later than 90 days after the commencement of the period of service to which the performance relates (or at such earlier time as is required to qualify the Award as performance-based under Section 162(m)). Prior to grant, vesting or payment of the Performance Award, as the case may be, the Administrator will certify whether the applicable Performance Criteria have been attained and such determination will be final and conclusive. No Performance Award to which this Section 6(a)(8) applies may be granted after the first meeting of the stockholders of the Company held in 2011 until the listed performance measures set forth in the definition of “Performance Criteria” (as originally approved or as subsequently amended) have been resubmitted to and reapproved by the stockholders of the Company in accordance with the requirements of Section 162(m) of the Code, unless such grant is made contingent upon such approval.</w:t>
      </w:r>
    </w:p>
    <w:p>
      <w:pPr>
        <w:spacing w:after="0" w:line="54" w:lineRule="exact"/>
        <w:rPr>
          <w:sz w:val="20"/>
          <w:szCs w:val="20"/>
          <w:color w:val="auto"/>
        </w:rPr>
      </w:pPr>
    </w:p>
    <w:p>
      <w:pPr>
        <w:ind w:right="20" w:firstLine="458"/>
        <w:spacing w:after="0" w:line="266" w:lineRule="auto"/>
        <w:tabs>
          <w:tab w:leader="none" w:pos="885"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latest date on which an Award may be exercised will be the tenth anniversary (fifth anniversary, in the case of an ISO</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a ten-percent shareholder) of the day immediately preceding the date the Award was granted, or such earlier date as may have been specified by the Administrator at the time the Award was granted.</w:t>
      </w:r>
    </w:p>
    <w:p>
      <w:pPr>
        <w:spacing w:after="0" w:line="68" w:lineRule="exact"/>
        <w:rPr>
          <w:rFonts w:ascii="Arial" w:cs="Arial" w:eastAsia="Arial" w:hAnsi="Arial"/>
          <w:sz w:val="18"/>
          <w:szCs w:val="18"/>
          <w:b w:val="1"/>
          <w:bCs w:val="1"/>
          <w:color w:val="auto"/>
        </w:rPr>
      </w:pPr>
    </w:p>
    <w:p>
      <w:pPr>
        <w:ind w:left="680" w:hanging="447"/>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Requiring Exercise</w:t>
      </w:r>
    </w:p>
    <w:p>
      <w:pPr>
        <w:spacing w:after="0" w:line="117" w:lineRule="exact"/>
        <w:rPr>
          <w:rFonts w:ascii="Arial" w:cs="Arial" w:eastAsia="Arial" w:hAnsi="Arial"/>
          <w:sz w:val="18"/>
          <w:szCs w:val="18"/>
          <w:b w:val="1"/>
          <w:bCs w:val="1"/>
          <w:color w:val="auto"/>
        </w:rPr>
      </w:pPr>
    </w:p>
    <w:p>
      <w:pPr>
        <w:ind w:right="600" w:firstLine="458"/>
        <w:spacing w:after="0" w:line="282" w:lineRule="auto"/>
        <w:tabs>
          <w:tab w:leader="none" w:pos="885"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Exemption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Administrator otherwise determines, no Award requiring exercise shall have deferral features,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in a manner, that would cause such Award to fail to qualify for exemption from Section 409A.</w:t>
      </w:r>
    </w:p>
    <w:p>
      <w:pPr>
        <w:spacing w:after="0" w:line="53" w:lineRule="exact"/>
        <w:rPr>
          <w:rFonts w:ascii="Arial" w:cs="Arial" w:eastAsia="Arial" w:hAnsi="Arial"/>
          <w:sz w:val="18"/>
          <w:szCs w:val="18"/>
          <w:b w:val="1"/>
          <w:bCs w:val="1"/>
          <w:color w:val="auto"/>
        </w:rPr>
      </w:pPr>
    </w:p>
    <w:p>
      <w:pPr>
        <w:ind w:firstLine="458"/>
        <w:spacing w:after="0" w:line="261" w:lineRule="auto"/>
        <w:tabs>
          <w:tab w:leader="none" w:pos="885"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Time and Manner of Exercise</w:t>
      </w:r>
      <w:r>
        <w:rPr>
          <w:rFonts w:ascii="Arial" w:cs="Arial" w:eastAsia="Arial" w:hAnsi="Arial"/>
          <w:sz w:val="18"/>
          <w:szCs w:val="18"/>
          <w:color w:val="auto"/>
        </w:rPr>
        <w:t>. Unless the Administrator expressly provides otherwise, an Award requiring exercise by the holder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exercised until the Administrator receives a notice of exercise (in form acceptable to the Administrator) signed by the appropriate person and accompanied by any payment required under the Award. If the Award is exercised by any person other than the Participant, the Administrator may require satisfactory evidence that the person exercising the Award has the right to do so.</w:t>
      </w:r>
    </w:p>
    <w:p>
      <w:pPr>
        <w:spacing w:after="0" w:line="71" w:lineRule="exact"/>
        <w:rPr>
          <w:rFonts w:ascii="Arial" w:cs="Arial" w:eastAsia="Arial" w:hAnsi="Arial"/>
          <w:sz w:val="18"/>
          <w:szCs w:val="18"/>
          <w:b w:val="1"/>
          <w:bCs w:val="1"/>
          <w:color w:val="auto"/>
        </w:rPr>
      </w:pPr>
    </w:p>
    <w:p>
      <w:pPr>
        <w:ind w:right="40" w:firstLine="458"/>
        <w:spacing w:after="0" w:line="277" w:lineRule="auto"/>
        <w:tabs>
          <w:tab w:leader="none" w:pos="885" w:val="left"/>
        </w:tabs>
        <w:numPr>
          <w:ilvl w:val="1"/>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Price</w:t>
      </w:r>
      <w:r>
        <w:rPr>
          <w:rFonts w:ascii="Arial" w:cs="Arial" w:eastAsia="Arial" w:hAnsi="Arial"/>
          <w:sz w:val="17"/>
          <w:szCs w:val="17"/>
          <w:color w:val="auto"/>
        </w:rPr>
        <w:t>. The exercise price (or the base value from which appreciation is to be measured) of each Award requiring exercise shall be 100%</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case of an ISO granted to a ten-percent shareholder within the meaning of Section 422(b)(6) of the Code, 110%) of the fair market value of the Stock subject to the Award, determined as of the date of grant, or such higher amount as the Administrator may determine in connection with the grant. Fair market value shall be determined by the Administrator consistent with the requirements of Section 422 and Section 409A, as applicable. No such Award, once granted, may be repriced other than in accordance with the applicable stockholder approval requirements of Nasdaq.</w:t>
      </w:r>
    </w:p>
    <w:p>
      <w:pPr>
        <w:spacing w:after="0" w:line="60" w:lineRule="exact"/>
        <w:rPr>
          <w:rFonts w:ascii="Arial" w:cs="Arial" w:eastAsia="Arial" w:hAnsi="Arial"/>
          <w:sz w:val="17"/>
          <w:szCs w:val="17"/>
          <w:b w:val="1"/>
          <w:bCs w:val="1"/>
          <w:color w:val="auto"/>
        </w:rPr>
      </w:pPr>
    </w:p>
    <w:p>
      <w:pPr>
        <w:ind w:right="80" w:firstLine="458"/>
        <w:spacing w:after="0" w:line="266" w:lineRule="auto"/>
        <w:tabs>
          <w:tab w:leader="none" w:pos="885"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Exercise Price</w:t>
      </w:r>
      <w:r>
        <w:rPr>
          <w:rFonts w:ascii="Arial" w:cs="Arial" w:eastAsia="Arial" w:hAnsi="Arial"/>
          <w:sz w:val="18"/>
          <w:szCs w:val="18"/>
          <w:color w:val="auto"/>
        </w:rPr>
        <w:t>. Where the exercise of an Award is to be accompanied by payment, the Administrator may determine the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forms of payment, subject to the following: all payments will be by cash or check acceptable to the Administrator, or, if so permitted by the Administrator and if legally permissible, (i) through the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t>delivery of shares of Stock that have been outstanding for at least six months (unless the Administrator approves a shorter period) and that have a fair market value equal to the exercise price, (ii) by delivery to the Company of a promissory note of the person exercising the Award, payable on such terms as are specified by the Administrator, (iii) through a broker-assisted exercise program acceptable to the Administrator, (iv) by other means acceptable to the Administrator, or (v) by any combination of the foregoing permissible forms of payment. The delivery of shares in payment of the exercise price under clause (a)(i) above may be accomplished either by actual delivery or by constructive delivery through attestation of ownership, subject to such rules as the Administrator may prescribe.</w:t>
      </w:r>
    </w:p>
    <w:p>
      <w:pPr>
        <w:spacing w:after="0" w:line="81" w:lineRule="exact"/>
        <w:rPr>
          <w:sz w:val="20"/>
          <w:szCs w:val="20"/>
          <w:color w:val="auto"/>
        </w:rPr>
      </w:pPr>
    </w:p>
    <w:p>
      <w:pPr>
        <w:ind w:left="660" w:hanging="427"/>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Not Requiring Exercise</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Restricted Stock and Unrestricted Stock, whether delivered outright or under Awards of Stock Units or other Awards that do not require exercise, may be made in exchange for such lawful consideration, including services, as the Administrator determines. Any Award resulting in a deferral of compensation subject to Section 409A shall be construed to the maximum extent possible, as determined by the Administrator, consistent with the requirements of Section 409A.</w:t>
      </w:r>
    </w:p>
    <w:p>
      <w:pPr>
        <w:spacing w:after="0" w:line="18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117" w:lineRule="exact"/>
        <w:rPr>
          <w:rFonts w:ascii="Arial" w:cs="Arial" w:eastAsia="Arial" w:hAnsi="Arial"/>
          <w:sz w:val="18"/>
          <w:szCs w:val="18"/>
          <w:b w:val="1"/>
          <w:bCs w:val="1"/>
          <w:color w:val="auto"/>
        </w:rPr>
      </w:pPr>
    </w:p>
    <w:p>
      <w:pPr>
        <w:ind w:left="660" w:hanging="427"/>
        <w:spacing w:after="0"/>
        <w:tabs>
          <w:tab w:leader="none" w:pos="66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Mergers, etc</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an Award, the following provisions shall apply in the event of a Covered Transaction:</w:t>
      </w:r>
    </w:p>
    <w:p>
      <w:pPr>
        <w:spacing w:after="0" w:line="117" w:lineRule="exact"/>
        <w:rPr>
          <w:rFonts w:ascii="Arial" w:cs="Arial" w:eastAsia="Arial" w:hAnsi="Arial"/>
          <w:sz w:val="18"/>
          <w:szCs w:val="18"/>
          <w:b w:val="1"/>
          <w:bCs w:val="1"/>
          <w:color w:val="auto"/>
        </w:rPr>
      </w:pPr>
    </w:p>
    <w:p>
      <w:pPr>
        <w:ind w:right="60" w:firstLine="458"/>
        <w:spacing w:after="0" w:line="266" w:lineRule="auto"/>
        <w:tabs>
          <w:tab w:leader="none" w:pos="885" w:val="left"/>
        </w:tabs>
        <w:numPr>
          <w:ilvl w:val="2"/>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 or Substitution</w:t>
      </w:r>
      <w:r>
        <w:rPr>
          <w:rFonts w:ascii="Arial" w:cs="Arial" w:eastAsia="Arial" w:hAnsi="Arial"/>
          <w:sz w:val="18"/>
          <w:szCs w:val="18"/>
          <w:color w:val="auto"/>
        </w:rPr>
        <w:t>. If the Covered Transaction is one in which there is an acquiring or surviving entity, the Administrator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assumption of some or all outstanding Awards or for the grant of new awards in substitution therefor by the acquirer or survivor or an affiliate of the acquirer or survivor.</w:t>
      </w:r>
    </w:p>
    <w:p>
      <w:pPr>
        <w:spacing w:after="0" w:line="68" w:lineRule="exact"/>
        <w:rPr>
          <w:rFonts w:ascii="Arial" w:cs="Arial" w:eastAsia="Arial" w:hAnsi="Arial"/>
          <w:sz w:val="18"/>
          <w:szCs w:val="18"/>
          <w:b w:val="1"/>
          <w:bCs w:val="1"/>
          <w:color w:val="auto"/>
        </w:rPr>
      </w:pPr>
    </w:p>
    <w:p>
      <w:pPr>
        <w:ind w:right="20" w:firstLine="458"/>
        <w:spacing w:after="0" w:line="274" w:lineRule="auto"/>
        <w:tabs>
          <w:tab w:leader="none" w:pos="885" w:val="left"/>
        </w:tabs>
        <w:numPr>
          <w:ilvl w:val="2"/>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Cash-Out of Awards</w:t>
      </w:r>
      <w:r>
        <w:rPr>
          <w:rFonts w:ascii="Arial" w:cs="Arial" w:eastAsia="Arial" w:hAnsi="Arial"/>
          <w:sz w:val="17"/>
          <w:szCs w:val="17"/>
          <w:color w:val="auto"/>
        </w:rPr>
        <w:t>. If the Covered Transaction is one in which holders of Stock will receive upon consummation a payment (whether cash,</w:t>
      </w:r>
      <w:r>
        <w:rPr>
          <w:rFonts w:ascii="Arial" w:cs="Arial" w:eastAsia="Arial" w:hAnsi="Arial"/>
          <w:sz w:val="17"/>
          <w:szCs w:val="17"/>
          <w:b w:val="1"/>
          <w:bCs w:val="1"/>
          <w:color w:val="auto"/>
        </w:rPr>
        <w:t xml:space="preserve"> </w:t>
      </w:r>
      <w:r>
        <w:rPr>
          <w:rFonts w:ascii="Arial" w:cs="Arial" w:eastAsia="Arial" w:hAnsi="Arial"/>
          <w:sz w:val="17"/>
          <w:szCs w:val="17"/>
          <w:color w:val="auto"/>
        </w:rPr>
        <w:t>non-cash or a combination of the foregoing), the Administrator may provide for payment (a “cash-out”), with respect to some or all Awards, equal in the case of each affected Award to the excess, if any, of (A) the fair market value of one share of Stock (as determined by the Administrator in its reasonable discretion) times the number of shares of Stock subject to the Award, over (B) the aggregate exercise or purchase price, if any, under the Award (in the case of an SAR, the aggregate base price above which appreciation is measured), in each case on such payment terms (which need not be the same as the terms of payment to holders of Stock) and other terms, and subject to such conditions, as the Administrator determines.</w:t>
      </w:r>
    </w:p>
    <w:p>
      <w:pPr>
        <w:spacing w:after="0" w:line="65" w:lineRule="exact"/>
        <w:rPr>
          <w:rFonts w:ascii="Arial" w:cs="Arial" w:eastAsia="Arial" w:hAnsi="Arial"/>
          <w:sz w:val="17"/>
          <w:szCs w:val="17"/>
          <w:b w:val="1"/>
          <w:bCs w:val="1"/>
          <w:color w:val="auto"/>
        </w:rPr>
      </w:pPr>
    </w:p>
    <w:p>
      <w:pPr>
        <w:ind w:right="40" w:firstLine="458"/>
        <w:spacing w:after="0" w:line="298" w:lineRule="auto"/>
        <w:tabs>
          <w:tab w:leader="none" w:pos="885" w:val="left"/>
        </w:tabs>
        <w:numPr>
          <w:ilvl w:val="2"/>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Acceleration of Certain Awards</w:t>
      </w:r>
      <w:r>
        <w:rPr>
          <w:rFonts w:ascii="Arial" w:cs="Arial" w:eastAsia="Arial" w:hAnsi="Arial"/>
          <w:sz w:val="16"/>
          <w:szCs w:val="16"/>
          <w:color w:val="auto"/>
        </w:rPr>
        <w:t>. If the Covered Transaction (whether or not there is an acquiring or surviving entity) is one in which there is no</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 substitution or cash-out, each Award requiring exercise will become fully exercisable, and the delivery of shares of Stock deliverable under each outstanding Award of Stock Units (including Restricted Stock Units and Performance Awards to the extent consisting of Stock Units) will be accelerated and such shares will be delivered, prior to the Covered Transaction, in each case on a basis that gives the holder of the Award a reasonable opportunity, as determined by the Administrator, following exercise of the Award or the delivery of the shares, as the case may be, to participate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as a stockholder in the Covered Transaction.</w:t>
      </w:r>
    </w:p>
    <w:p>
      <w:pPr>
        <w:spacing w:after="0" w:line="113" w:lineRule="exact"/>
        <w:rPr>
          <w:sz w:val="20"/>
          <w:szCs w:val="20"/>
          <w:color w:val="auto"/>
        </w:rPr>
      </w:pPr>
    </w:p>
    <w:p>
      <w:pPr>
        <w:ind w:right="40" w:firstLine="458"/>
        <w:spacing w:after="0" w:line="266" w:lineRule="auto"/>
        <w:tabs>
          <w:tab w:leader="none" w:pos="885" w:val="left"/>
        </w:tabs>
        <w:numPr>
          <w:ilvl w:val="2"/>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Awards Upon Consummation of Covered Transaction</w:t>
      </w:r>
      <w:r>
        <w:rPr>
          <w:rFonts w:ascii="Arial" w:cs="Arial" w:eastAsia="Arial" w:hAnsi="Arial"/>
          <w:sz w:val="18"/>
          <w:szCs w:val="18"/>
          <w:color w:val="auto"/>
        </w:rPr>
        <w:t>. Each Award (unless assumed pursuant to Section 7(a)(1) above),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outstanding shares of Restricted Stock (which shall be treated in the same manner as other shares of Stock, subject to Section 7(a)(5) below), will terminate upon consummation of the Covered Transaction.</w:t>
      </w:r>
    </w:p>
    <w:p>
      <w:pPr>
        <w:spacing w:after="0" w:line="68" w:lineRule="exact"/>
        <w:rPr>
          <w:rFonts w:ascii="Arial" w:cs="Arial" w:eastAsia="Arial" w:hAnsi="Arial"/>
          <w:sz w:val="18"/>
          <w:szCs w:val="18"/>
          <w:b w:val="1"/>
          <w:bCs w:val="1"/>
          <w:color w:val="auto"/>
        </w:rPr>
      </w:pPr>
    </w:p>
    <w:p>
      <w:pPr>
        <w:ind w:right="20" w:firstLine="458"/>
        <w:spacing w:after="0" w:line="258" w:lineRule="auto"/>
        <w:tabs>
          <w:tab w:leader="none" w:pos="885" w:val="left"/>
        </w:tabs>
        <w:numPr>
          <w:ilvl w:val="2"/>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w:t>
      </w:r>
      <w:r>
        <w:rPr>
          <w:rFonts w:ascii="Arial" w:cs="Arial" w:eastAsia="Arial" w:hAnsi="Arial"/>
          <w:sz w:val="18"/>
          <w:szCs w:val="18"/>
          <w:color w:val="auto"/>
        </w:rPr>
        <w:t>. Any share of Stock delivered pursuant to Section 7(a)(2) or Section 7(a)(3) above with respect to an Award may,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Administrator, contain such restrictions, if any, as the Administrator deems appropriate to reflect any performance or other vesting conditions to which the Award was subject. In the case of Restricted Stock,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75" w:lineRule="exact"/>
        <w:rPr>
          <w:rFonts w:ascii="Arial" w:cs="Arial" w:eastAsia="Arial" w:hAnsi="Arial"/>
          <w:sz w:val="18"/>
          <w:szCs w:val="18"/>
          <w:b w:val="1"/>
          <w:bCs w:val="1"/>
          <w:color w:val="auto"/>
        </w:rPr>
      </w:pPr>
    </w:p>
    <w:p>
      <w:pPr>
        <w:ind w:left="680" w:hanging="447"/>
        <w:spacing w:after="0"/>
        <w:tabs>
          <w:tab w:leader="none" w:pos="68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and Distributions With Respect to Stock</w:t>
      </w:r>
    </w:p>
    <w:p>
      <w:pPr>
        <w:spacing w:after="0" w:line="117" w:lineRule="exact"/>
        <w:rPr>
          <w:rFonts w:ascii="Arial" w:cs="Arial" w:eastAsia="Arial" w:hAnsi="Arial"/>
          <w:sz w:val="18"/>
          <w:szCs w:val="18"/>
          <w:b w:val="1"/>
          <w:bCs w:val="1"/>
          <w:color w:val="auto"/>
        </w:rPr>
      </w:pPr>
    </w:p>
    <w:p>
      <w:pPr>
        <w:ind w:right="40" w:firstLine="458"/>
        <w:spacing w:after="0" w:line="258" w:lineRule="auto"/>
        <w:tabs>
          <w:tab w:leader="none" w:pos="885" w:val="left"/>
        </w:tabs>
        <w:numPr>
          <w:ilvl w:val="2"/>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Adjustment Provisions</w:t>
      </w:r>
      <w:r>
        <w:rPr>
          <w:rFonts w:ascii="Arial" w:cs="Arial" w:eastAsia="Arial" w:hAnsi="Arial"/>
          <w:sz w:val="18"/>
          <w:szCs w:val="18"/>
          <w:color w:val="auto"/>
        </w:rPr>
        <w:t>. In the event of a stock dividend, stock split or combination of shares (including a reverse stock split),</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or other change in the Company’s capital structure, the Administrator will make appropriate adjustments to the maximum number of shares specified in Section 4(a) that may be delivered under the Plan and to the maximum share limits described in Section 4(c),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75" w:lineRule="exact"/>
        <w:rPr>
          <w:rFonts w:ascii="Arial" w:cs="Arial" w:eastAsia="Arial" w:hAnsi="Arial"/>
          <w:sz w:val="18"/>
          <w:szCs w:val="18"/>
          <w:b w:val="1"/>
          <w:bCs w:val="1"/>
          <w:color w:val="auto"/>
        </w:rPr>
      </w:pPr>
    </w:p>
    <w:p>
      <w:pPr>
        <w:ind w:right="40" w:firstLine="458"/>
        <w:spacing w:after="0" w:line="258" w:lineRule="auto"/>
        <w:tabs>
          <w:tab w:leader="none" w:pos="885" w:val="left"/>
        </w:tabs>
        <w:numPr>
          <w:ilvl w:val="2"/>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Other Adjustments</w:t>
      </w:r>
      <w:r>
        <w:rPr>
          <w:rFonts w:ascii="Arial" w:cs="Arial" w:eastAsia="Arial" w:hAnsi="Arial"/>
          <w:sz w:val="18"/>
          <w:szCs w:val="18"/>
          <w:color w:val="auto"/>
        </w:rPr>
        <w:t>. The Administrator may also make adjustments of the type described in Section 7(b)(1) above to take into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to stockholders other than those provided for in Section 7(a) and 7(b)(1), or any other event, if the Administrator determines that adjustments are appropriate to avoid distortion in the operation of the Plan and to preserve the value of Awards made hereunder, having due regard for the qualification of ISOs under Section 422 of the Code, the requirements of Section 409A of the Code, and for the performance-based compensation rules of Section 162(m), where applicable.</w:t>
      </w:r>
    </w:p>
    <w:p>
      <w:pPr>
        <w:spacing w:after="0" w:line="75" w:lineRule="exact"/>
        <w:rPr>
          <w:rFonts w:ascii="Arial" w:cs="Arial" w:eastAsia="Arial" w:hAnsi="Arial"/>
          <w:sz w:val="18"/>
          <w:szCs w:val="18"/>
          <w:b w:val="1"/>
          <w:bCs w:val="1"/>
          <w:color w:val="auto"/>
        </w:rPr>
      </w:pPr>
    </w:p>
    <w:p>
      <w:pPr>
        <w:ind w:right="200" w:firstLine="458"/>
        <w:spacing w:after="0" w:line="282" w:lineRule="auto"/>
        <w:tabs>
          <w:tab w:leader="none" w:pos="885" w:val="left"/>
        </w:tabs>
        <w:numPr>
          <w:ilvl w:val="2"/>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Application of Plan Terms</w:t>
      </w:r>
      <w:r>
        <w:rPr>
          <w:rFonts w:ascii="Arial" w:cs="Arial" w:eastAsia="Arial" w:hAnsi="Arial"/>
          <w:sz w:val="18"/>
          <w:szCs w:val="18"/>
          <w:color w:val="auto"/>
        </w:rPr>
        <w:t>. References in the Plan to shares of Stock will be construed to include any stock or securities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an adjustment pursuant to this Section 7.</w:t>
      </w:r>
    </w:p>
    <w:p>
      <w:pPr>
        <w:spacing w:after="0" w:line="161" w:lineRule="exact"/>
        <w:rPr>
          <w:rFonts w:ascii="Arial" w:cs="Arial" w:eastAsia="Arial" w:hAnsi="Arial"/>
          <w:sz w:val="18"/>
          <w:szCs w:val="18"/>
          <w:b w:val="1"/>
          <w:bCs w:val="1"/>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LEGAL CONDITIONS ON DELIVERY OF STOCK</w:t>
      </w:r>
    </w:p>
    <w:p>
      <w:pPr>
        <w:spacing w:after="0" w:line="121" w:lineRule="exact"/>
        <w:rPr>
          <w:sz w:val="20"/>
          <w:szCs w:val="20"/>
          <w:color w:val="auto"/>
        </w:rPr>
      </w:pPr>
    </w:p>
    <w:p>
      <w:pPr>
        <w:jc w:val="both"/>
        <w:ind w:right="580" w:firstLine="222"/>
        <w:spacing w:after="0" w:line="279" w:lineRule="auto"/>
        <w:rPr>
          <w:sz w:val="20"/>
          <w:szCs w:val="20"/>
          <w:color w:val="auto"/>
        </w:rPr>
      </w:pPr>
      <w:r>
        <w:rPr>
          <w:rFonts w:ascii="Arial" w:cs="Arial" w:eastAsia="Arial" w:hAnsi="Arial"/>
          <w:sz w:val="17"/>
          <w:szCs w:val="17"/>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both"/>
        <w:ind w:right="180" w:firstLine="8"/>
        <w:spacing w:after="0" w:line="302" w:lineRule="auto"/>
        <w:tabs>
          <w:tab w:leader="none" w:pos="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such Act. The Company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50"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adversely the Participant’s rights under the Award, unless the Administrator expressly reserved the right to do so at the time of the Award. Any amendments to the Plan shall be conditioned upon stockholder approval only to the extent, if any, such approval is required by law (including the Code and applicable stock exchange requirements), as determined by the Administrator.</w:t>
      </w:r>
    </w:p>
    <w:p>
      <w:pPr>
        <w:spacing w:after="0" w:line="1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COMPENSATION ARRANGEMENTS</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166"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right="40" w:firstLine="233"/>
        <w:spacing w:after="0" w:line="256" w:lineRule="auto"/>
        <w:tabs>
          <w:tab w:leader="none" w:pos="66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accepting an Award under the Plan, each Participant waives any right to a trial by jury in any action, proceeding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79" w:lineRule="exact"/>
        <w:rPr>
          <w:rFonts w:ascii="Arial" w:cs="Arial" w:eastAsia="Arial" w:hAnsi="Arial"/>
          <w:sz w:val="18"/>
          <w:szCs w:val="18"/>
          <w:b w:val="1"/>
          <w:bCs w:val="1"/>
          <w:color w:val="auto"/>
        </w:rPr>
      </w:pPr>
    </w:p>
    <w:p>
      <w:pPr>
        <w:ind w:right="40" w:firstLine="233"/>
        <w:spacing w:after="0" w:line="256" w:lineRule="auto"/>
        <w:tabs>
          <w:tab w:leader="none" w:pos="67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the Plan, neither the Company, any Affiliate, nor the Administrator,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acting on behalf of the Company, any Affiliate, or the Administrator, shall be liable to any Participant or to the estate or beneficiary of any Participant or to any other holder of an Award by reason of any acceleration of income, or any additional tax, asserted by reason of the failure of an Award to satisfy the requirements of Section 422 or Section 409A or by reason of Section 4999 of the Code; provided, that nothing in this Section 11(b) shall limit the ability of the Administrator or the Company to provide by separate express written agreement with a Participant for a gross-up payment or other payment in connection with any such tax or additional tax.</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EXHIBIT A</w:t>
      </w:r>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11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The Compensation Committee, except that the Compensation Committee may delegate (i) to one or more of its members such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duties, powers and responsibilities as it may determine; (ii) to one or more officers of the Company the power to grant rights or options to the extent permitted by Section 157(c) of the Delaware General Corporation Law; (iii) to one or more officers of the Company the authority to allocate other Awards among such persons (other than officers of the Company) eligible to receive Awards under the Plan as such delegated officer or officers determine consistent with such delegation;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any delegation described in this clause (iii) the Compensation Committee (or a properly delegated member or members of such Committee) shall have authorized the issuance of a specified number of shares of Stock under such Awards and shall have specified the consideration, if any, to be paid therefor; and (iv) to such Employees or other persons as it determines such ministerial tasks as it deems appropriate. In the event of any delegation described in the preceding sentence, the term “Administrator” shall include the person or persons so delegated to the extent of such delegation.</w:t>
      </w:r>
    </w:p>
    <w:p>
      <w:pPr>
        <w:spacing w:after="0" w:line="81" w:lineRule="exact"/>
        <w:rPr>
          <w:sz w:val="20"/>
          <w:szCs w:val="20"/>
          <w:color w:val="auto"/>
        </w:rPr>
      </w:pPr>
    </w:p>
    <w:p>
      <w:pPr>
        <w:ind w:right="60" w:firstLine="225"/>
        <w:spacing w:after="0" w:line="295"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Any corporation or other entity owning, directly or indirectly, 50% or more of the outstanding Stock of the Company, or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such corporation or other entity owns, directly or indirectly, 50% of the outstanding capital stock (determined by aggregate voting rights) or other voting interests. For purposes of determining eligibility for the grant of a Stock Option or SAR by reason of service with an Affiliate, the term Affiliate shall be limited to persons that stand in a relationship to the Company that would result in the Company and such person being treated as one employer under Section 414(b) and Section 414(c) of the Code except that “at least 50%” shall be substituted for “at least 805” under Sections 1563(a)(1), (2), and (3) of the Code and Treas. Reg. Section 1.414(c)-2, all in accordance with the definition of “service recipient” under Section 409A of the Code.</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Any or a combination of the following:</w:t>
      </w:r>
    </w:p>
    <w:p>
      <w:pPr>
        <w:spacing w:after="0" w:line="121" w:lineRule="exact"/>
        <w:rPr>
          <w:sz w:val="20"/>
          <w:szCs w:val="20"/>
          <w:color w:val="auto"/>
        </w:rPr>
      </w:pPr>
    </w:p>
    <w:p>
      <w:pPr>
        <w:ind w:left="680" w:hanging="22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SARs.</w:t>
      </w:r>
    </w:p>
    <w:p>
      <w:pPr>
        <w:spacing w:after="0" w:line="117" w:lineRule="exact"/>
        <w:rPr>
          <w:rFonts w:ascii="Arial" w:cs="Arial" w:eastAsia="Arial" w:hAnsi="Arial"/>
          <w:sz w:val="18"/>
          <w:szCs w:val="18"/>
          <w:color w:val="auto"/>
        </w:rPr>
      </w:pPr>
    </w:p>
    <w:p>
      <w:pPr>
        <w:ind w:left="780" w:hanging="32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17" w:lineRule="exact"/>
        <w:rPr>
          <w:rFonts w:ascii="Arial" w:cs="Arial" w:eastAsia="Arial" w:hAnsi="Arial"/>
          <w:sz w:val="18"/>
          <w:szCs w:val="18"/>
          <w:color w:val="auto"/>
        </w:rPr>
      </w:pPr>
    </w:p>
    <w:p>
      <w:pPr>
        <w:ind w:left="760" w:hanging="30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ind w:left="760" w:hanging="299"/>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17" w:lineRule="exact"/>
        <w:rPr>
          <w:rFonts w:ascii="Arial" w:cs="Arial" w:eastAsia="Arial" w:hAnsi="Arial"/>
          <w:sz w:val="18"/>
          <w:szCs w:val="18"/>
          <w:color w:val="auto"/>
        </w:rPr>
      </w:pPr>
    </w:p>
    <w:p>
      <w:pPr>
        <w:ind w:left="820" w:hanging="359"/>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117" w:lineRule="exact"/>
        <w:rPr>
          <w:rFonts w:ascii="Arial" w:cs="Arial" w:eastAsia="Arial" w:hAnsi="Arial"/>
          <w:sz w:val="18"/>
          <w:szCs w:val="18"/>
          <w:color w:val="auto"/>
        </w:rPr>
      </w:pPr>
    </w:p>
    <w:p>
      <w:pPr>
        <w:ind w:left="860" w:hanging="399"/>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Awards (other than Awards described in (i) through (vii) above) that are convertible into or otherwise based on Stock.</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“Cash Award”: </w:t>
      </w:r>
      <w:r>
        <w:rPr>
          <w:rFonts w:ascii="Arial" w:cs="Arial" w:eastAsia="Arial" w:hAnsi="Arial"/>
          <w:sz w:val="18"/>
          <w:szCs w:val="18"/>
          <w:color w:val="auto"/>
        </w:rPr>
        <w:t>An Award denominated in cash.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The U.S. Internal Revenue Code of 1986 as from time to time amended and in effect, or any successor statute as from time to time in effect.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and Stock Option Committee of the Board.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StemCells, Inc.</w:t>
      </w:r>
    </w:p>
    <w:p>
      <w:pPr>
        <w:spacing w:after="0" w:line="117" w:lineRule="exact"/>
        <w:rPr>
          <w:sz w:val="20"/>
          <w:szCs w:val="20"/>
          <w:color w:val="auto"/>
        </w:rPr>
      </w:pPr>
    </w:p>
    <w:p>
      <w:pPr>
        <w:ind w:right="80" w:firstLine="225"/>
        <w:spacing w:after="0" w:line="256" w:lineRule="auto"/>
        <w:rPr>
          <w:sz w:val="20"/>
          <w:szCs w:val="20"/>
          <w:color w:val="auto"/>
        </w:rPr>
      </w:pPr>
      <w:r>
        <w:rPr>
          <w:rFonts w:ascii="Arial" w:cs="Arial" w:eastAsia="Arial" w:hAnsi="Arial"/>
          <w:sz w:val="18"/>
          <w:szCs w:val="18"/>
          <w:b w:val="1"/>
          <w:bCs w:val="1"/>
          <w:color w:val="auto"/>
        </w:rPr>
        <w:t xml:space="preserve">“Covered Transaction”: </w:t>
      </w:r>
      <w:r>
        <w:rPr>
          <w:rFonts w:ascii="Arial" w:cs="Arial" w:eastAsia="Arial" w:hAnsi="Arial"/>
          <w:sz w:val="18"/>
          <w:szCs w:val="18"/>
          <w:color w:val="auto"/>
        </w:rPr>
        <w:t>Any of (i) a consolidation, merger, or similar transaction or series of related transactions, including a sale or other disposition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shall be deemed to have occurred upon consummation of the tender offer.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Any person who is employed by the Company or an Affiliate.</w:t>
      </w:r>
    </w:p>
    <w:p>
      <w:pPr>
        <w:spacing w:after="0" w:line="117" w:lineRule="exact"/>
        <w:rPr>
          <w:sz w:val="20"/>
          <w:szCs w:val="20"/>
          <w:color w:val="auto"/>
        </w:rPr>
      </w:pPr>
    </w:p>
    <w:p>
      <w:pPr>
        <w:ind w:right="80" w:firstLine="225"/>
        <w:spacing w:after="0" w:line="258" w:lineRule="auto"/>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 Participant’s employment or other service relationship with the Company and its Affiliates. Employment will be deemed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Administrator expressly provides otherwise, so long as the Participant is employed by, or otherwise is providing services in a capacity described in Section 5 to the Company or its Affiliates.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w:t>
      </w:r>
    </w:p>
    <w:p>
      <w:pPr>
        <w:spacing w:after="0" w:line="76" w:lineRule="exact"/>
        <w:rPr>
          <w:sz w:val="20"/>
          <w:szCs w:val="20"/>
          <w:color w:val="auto"/>
        </w:rPr>
      </w:pPr>
    </w:p>
    <w:p>
      <w:pPr>
        <w:ind w:right="240" w:firstLine="225"/>
        <w:spacing w:after="0" w:line="347" w:lineRule="auto"/>
        <w:rPr>
          <w:sz w:val="20"/>
          <w:szCs w:val="20"/>
          <w:color w:val="auto"/>
        </w:rPr>
      </w:pPr>
      <w:r>
        <w:rPr>
          <w:rFonts w:ascii="Arial" w:cs="Arial" w:eastAsia="Arial" w:hAnsi="Arial"/>
          <w:sz w:val="16"/>
          <w:szCs w:val="16"/>
          <w:b w:val="1"/>
          <w:bCs w:val="1"/>
          <w:color w:val="auto"/>
        </w:rPr>
        <w:t xml:space="preserve">“ISO”: </w:t>
      </w:r>
      <w:r>
        <w:rPr>
          <w:rFonts w:ascii="Arial" w:cs="Arial" w:eastAsia="Arial" w:hAnsi="Arial"/>
          <w:sz w:val="16"/>
          <w:szCs w:val="16"/>
          <w:color w:val="auto"/>
        </w:rPr>
        <w:t>A Stock Option intended to be an “incentive stock option” within the meaning of Section 422 of the Code. Each option granted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will be treated as providing by its terms that it is to be a non-incentive stock option unless, as of the date of grant, it is expressly designated as an ISO.</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A person who is granted an Award under the Plan.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180" w:firstLine="225"/>
        <w:spacing w:after="0" w:line="347" w:lineRule="auto"/>
        <w:rPr>
          <w:sz w:val="20"/>
          <w:szCs w:val="20"/>
          <w:color w:val="auto"/>
        </w:rPr>
      </w:pPr>
      <w:r>
        <w:rPr>
          <w:rFonts w:ascii="Arial" w:cs="Arial" w:eastAsia="Arial" w:hAnsi="Arial"/>
          <w:sz w:val="16"/>
          <w:szCs w:val="16"/>
          <w:b w:val="1"/>
          <w:bCs w:val="1"/>
          <w:color w:val="auto"/>
        </w:rPr>
        <w:t xml:space="preserve">“Performance Award”: </w:t>
      </w:r>
      <w:r>
        <w:rPr>
          <w:rFonts w:ascii="Arial" w:cs="Arial" w:eastAsia="Arial" w:hAnsi="Arial"/>
          <w:sz w:val="16"/>
          <w:szCs w:val="16"/>
          <w:color w:val="auto"/>
        </w:rPr>
        <w:t>An Award subject to Performance Criteria. The Committee in its discretion may grant Performance Awards that are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qualify for the performance-based compensation exception under Section 162(m) and Performance Awards that are not intended so to qualify.</w:t>
      </w:r>
    </w:p>
    <w:p>
      <w:pPr>
        <w:spacing w:after="0" w:line="8"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b w:val="1"/>
          <w:bCs w:val="1"/>
          <w:color w:val="auto"/>
        </w:rPr>
        <w:t xml:space="preserve">“Performance Criteria”: </w:t>
      </w:r>
      <w:r>
        <w:rPr>
          <w:rFonts w:ascii="Arial" w:cs="Arial" w:eastAsia="Arial" w:hAnsi="Arial"/>
          <w:sz w:val="17"/>
          <w:szCs w:val="17"/>
          <w:color w:val="auto"/>
        </w:rPr>
        <w:t>Specified criteria, other than the mere continuation of Employment or the mere passage of time, the satisfaction of which is a</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for the grant, exercisability, vesting or full enjoyment of an Award. For purposes of Awards that are intended to qualify for the performance-based compensation exception under Section 162(m), a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the Administrator may provide in the case of any Award intended to qualify for such exception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The StemCells, Inc. 2006 Incentive Plan as from time to time amended and in effect.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Stock subject to restrictions requiring that it be redelivered or offered for sale to the Company if specified conditions are not satisfied.</w:t>
      </w:r>
    </w:p>
    <w:p>
      <w:pPr>
        <w:spacing w:after="0" w:line="140" w:lineRule="exact"/>
        <w:rPr>
          <w:sz w:val="20"/>
          <w:szCs w:val="20"/>
          <w:color w:val="auto"/>
        </w:rPr>
      </w:pPr>
    </w:p>
    <w:p>
      <w:pPr>
        <w:ind w:right="480" w:firstLine="225"/>
        <w:spacing w:after="0" w:line="282" w:lineRule="auto"/>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A Stock Unit that is, or as to which the delivery of Stock or cash in lieu of Stock is, subject to the satisfaction of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or other vesting conditions.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162(m)”: </w:t>
      </w:r>
      <w:r>
        <w:rPr>
          <w:rFonts w:ascii="Arial" w:cs="Arial" w:eastAsia="Arial" w:hAnsi="Arial"/>
          <w:sz w:val="18"/>
          <w:szCs w:val="18"/>
          <w:color w:val="auto"/>
        </w:rPr>
        <w:t>Section 162(m) of the Code.</w:t>
      </w:r>
    </w:p>
    <w:p>
      <w:pPr>
        <w:spacing w:after="0" w:line="117" w:lineRule="exact"/>
        <w:rPr>
          <w:sz w:val="20"/>
          <w:szCs w:val="20"/>
          <w:color w:val="auto"/>
        </w:rPr>
      </w:pPr>
    </w:p>
    <w:p>
      <w:pPr>
        <w:ind w:right="860" w:firstLine="225"/>
        <w:spacing w:after="0" w:line="282" w:lineRule="auto"/>
        <w:rPr>
          <w:sz w:val="20"/>
          <w:szCs w:val="20"/>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A right entitling the holder upon exercise to receive an amount (payable in shares of Stock of equivalent value or, at the election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in cash or a</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ind w:right="220"/>
        <w:spacing w:after="0" w:line="277" w:lineRule="auto"/>
        <w:rPr>
          <w:sz w:val="20"/>
          <w:szCs w:val="20"/>
          <w:color w:val="auto"/>
        </w:rPr>
      </w:pPr>
      <w:r>
        <w:rPr>
          <w:rFonts w:ascii="Arial" w:cs="Arial" w:eastAsia="Arial" w:hAnsi="Arial"/>
          <w:sz w:val="18"/>
          <w:szCs w:val="18"/>
          <w:color w:val="auto"/>
        </w:rPr>
        <w:t>combination of shares of Stock and cash) equal to the excess of the fair market value of the shares of Stock subject to the right over the fair market value of such shares at the date of grant.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Common Stock of the Company, par value $ 0.01 per share.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An option entitling the holder to acquire shares of Stock upon payment of the exercise price.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“Stock Unit”: </w:t>
      </w:r>
      <w:r>
        <w:rPr>
          <w:rFonts w:ascii="Arial" w:cs="Arial" w:eastAsia="Arial" w:hAnsi="Arial"/>
          <w:sz w:val="16"/>
          <w:szCs w:val="16"/>
          <w:color w:val="auto"/>
        </w:rPr>
        <w:t>An unfunded and unsecured promise, denominated in shares of Stock, to deliver Stock or cash measured by the value of Stock in the future.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“Unrestricted Stock”: </w:t>
      </w:r>
      <w:r>
        <w:rPr>
          <w:rFonts w:ascii="Arial" w:cs="Arial" w:eastAsia="Arial" w:hAnsi="Arial"/>
          <w:sz w:val="18"/>
          <w:szCs w:val="18"/>
          <w:color w:val="auto"/>
        </w:rPr>
        <w:t>Stock not subject to any restrictions under the terms of the Award.</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93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[ROPES &amp; GRAY LLP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20,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opinion is furnished to you in connection with a registration statement on Form S-8 (the “Registration Statement”), filed with the Securities and Exchange Commission under the Securities Act of 1933, as amended, for the registration of 9,000,000 shares of Common Stock, $.01 par value (the “Shares”), of StemCells, Inc., a Delaware corporation (the “Company”). The Shares are issuable under the Company’s Amended and Restated 2006 Equity Incentive Plan (the “Plan”).</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familiar with the actions taken by the Company in connection with the adoption of the Plan. For purposes of our opinion, we have examined and relied upon such documents, records, certificates and other instruments as we have deemed necessary. The opinions expressed below are limited to the Delaware General Corporation Law, including the applicable provisions of the Delaware Constitution and the reported cases interpreting those laws.</w:t>
      </w:r>
    </w:p>
    <w:p>
      <w:pPr>
        <w:spacing w:after="0" w:line="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when the Shares have been issued and sold in accordance with the terms of the Plan, the Shares will be validly issued, fully paid and nonassessable.</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Our consent shall not be deemed an admission that we are experts whose consent is required under Section 7 of the Securities Act of 1933.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 is understood that this opinion is to be used only in connection with the offer and sale of Shares while the Registration Statement is in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Ropes &amp; Gray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420"/>
          </w:cols>
          <w:pgMar w:left="240" w:top="93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consent to the incorporation by reference in this Registration Statement on Form S-8 pertaining to the StemCells, Inc. Amended and Restated 2006 Equity Incentive Plan, of our reports dated March 1, 2007 with respect to the financial statements (which report expressed an unqualified opinion and contains an explanatory paragraph about StemCells, Inc.’s adoption of Statement No. 123R, “Share-Based Payment”) and management’s assessment of the effectiveness of internal control over financial reporting (which report expressed an unqualified opinion on management’s assessment of, and an unqualified opinion on the effective operation of, internal control over financial reporting) of StemCells, Inc. for the year ended December 31, 2006 contained in the Annual Report of StemCells, Inc. on Form 10-K filed with the Securities and Exchange Commission on March 9,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19, 2007</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3"/>
    </w:lvl>
  </w:abstractNum>
  <w:abstractNum w:abstractNumId="2">
    <w:nsid w:val="41A7C4C9"/>
    <w:multiLevelType w:val="hybridMultilevel"/>
    <w:lvl w:ilvl="0">
      <w:lvlJc w:val="left"/>
      <w:lvlText w:val="(%1)"/>
      <w:numFmt w:val="decimal"/>
      <w:start w:val="4"/>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5E45D32"/>
    <w:multiLevelType w:val="hybridMultilevel"/>
    <w:lvl w:ilvl="0">
      <w:lvlJc w:val="left"/>
      <w:lvlText w:val="%1"/>
      <w:numFmt w:val="lowerLetter"/>
      <w:start w:val="1"/>
    </w:lvl>
    <w:lvl w:ilvl="1">
      <w:lvlJc w:val="left"/>
      <w:lvlText w:val="(%2)"/>
      <w:numFmt w:val="decimal"/>
      <w:start w:val="2"/>
    </w:lvl>
  </w:abstractNum>
  <w:abstractNum w:abstractNumId="6">
    <w:nsid w:val="519B500D"/>
    <w:multiLevelType w:val="hybridMultilevel"/>
    <w:lvl w:ilvl="0">
      <w:lvlJc w:val="left"/>
      <w:lvlText w:val="(%1)"/>
      <w:numFmt w:val="lowerLetter"/>
      <w:start w:val="2"/>
    </w:lvl>
    <w:lvl w:ilvl="1">
      <w:lvlJc w:val="left"/>
      <w:lvlText w:val="%2"/>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4"/>
    </w:lvl>
    <w:lvl w:ilvl="1">
      <w:lvlJc w:val="left"/>
      <w:lvlText w:val="(%2)"/>
      <w:numFmt w:val="lowerLetter"/>
      <w:start w:val="1"/>
    </w:lvl>
  </w:abstractNum>
  <w:abstractNum w:abstractNumId="9">
    <w:nsid w:val="7C83E458"/>
    <w:multiLevelType w:val="hybridMultilevel"/>
    <w:lvl w:ilvl="0">
      <w:lvlJc w:val="left"/>
      <w:lvlText w:val="%1"/>
      <w:numFmt w:val="decimal"/>
      <w:start w:val="1"/>
    </w:lvl>
    <w:lvl w:ilvl="1">
      <w:lvlJc w:val="left"/>
      <w:lvlText w:val="(%2)"/>
      <w:numFmt w:val="lowerLetter"/>
      <w:start w:val="2"/>
    </w:lvl>
  </w:abstractNum>
  <w:abstractNum w:abstractNumId="10">
    <w:nsid w:val="257130A3"/>
    <w:multiLevelType w:val="hybridMultilevel"/>
    <w:lvl w:ilvl="0">
      <w:lvlJc w:val="left"/>
      <w:lvlText w:val="%1."/>
      <w:numFmt w:val="decimal"/>
      <w:start w:val="5"/>
    </w:lvl>
    <w:lvl w:ilvl="1">
      <w:lvlJc w:val="left"/>
      <w:lvlText w:val="%2"/>
      <w:numFmt w:val="lowerLetter"/>
      <w:start w:val="1"/>
    </w:lvl>
  </w:abstractNum>
  <w:abstractNum w:abstractNumId="11">
    <w:nsid w:val="62BBD95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2">
    <w:nsid w:val="436C612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3">
    <w:nsid w:val="628C895D"/>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4">
    <w:nsid w:val="333AB105"/>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15">
    <w:nsid w:val="721DA317"/>
    <w:multiLevelType w:val="hybridMultilevel"/>
    <w:lvl w:ilvl="0">
      <w:lvlJc w:val="left"/>
      <w:lvlText w:val="%1"/>
      <w:numFmt w:val="lowerLetter"/>
      <w:start w:val="1"/>
    </w:lvl>
    <w:lvl w:ilvl="1">
      <w:lvlJc w:val="left"/>
      <w:lvlText w:val="(%2)"/>
      <w:numFmt w:val="decimal"/>
      <w:start w:val="9"/>
    </w:lvl>
  </w:abstractNum>
  <w:abstractNum w:abstractNumId="16">
    <w:nsid w:val="2443A858"/>
    <w:multiLevelType w:val="hybridMultilevel"/>
    <w:lvl w:ilvl="0">
      <w:lvlJc w:val="left"/>
      <w:lvlText w:val="(%1)"/>
      <w:numFmt w:val="lowerLetter"/>
      <w:start w:val="2"/>
    </w:lvl>
    <w:lvl w:ilvl="1">
      <w:lvlJc w:val="left"/>
      <w:lvlText w:val="(%2)"/>
      <w:numFmt w:val="decimal"/>
      <w:start w:val="1"/>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9">
    <w:nsid w:val="75A2A8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0">
    <w:nsid w:val="8EDBDA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1">
    <w:nsid w:val="79838CB2"/>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2">
    <w:nsid w:val="4353D0CD"/>
    <w:multiLevelType w:val="hybridMultilevel"/>
    <w:lvl w:ilvl="0">
      <w:lvlJc w:val="left"/>
      <w:lvlText w:val="(%1)"/>
      <w:numFmt w:val="lowerRoman"/>
      <w:start w:val="3"/>
    </w:lvl>
  </w:abstractNum>
  <w:abstractNum w:abstractNumId="23">
    <w:nsid w:val="B03E0C6"/>
    <w:multiLevelType w:val="hybridMultilevel"/>
    <w:lvl w:ilvl="0">
      <w:lvlJc w:val="left"/>
      <w:lvlText w:val="%1."/>
      <w:numFmt w:val="decimal"/>
      <w:start w:val="9"/>
    </w:lvl>
  </w:abstractNum>
  <w:abstractNum w:abstractNumId="24">
    <w:nsid w:val="189A769B"/>
    <w:multiLevelType w:val="hybridMultilevel"/>
    <w:lvl w:ilvl="0">
      <w:lvlJc w:val="left"/>
      <w:lvlText w:val="%1."/>
      <w:numFmt w:val="decimal"/>
      <w:start w:val="10"/>
    </w:lvl>
  </w:abstractNum>
  <w:abstractNum w:abstractNumId="25">
    <w:nsid w:val="54E49EB4"/>
    <w:multiLevelType w:val="hybridMultilevel"/>
    <w:lvl w:ilvl="0">
      <w:lvlJc w:val="left"/>
      <w:lvlText w:val="%1."/>
      <w:numFmt w:val="decimal"/>
      <w:start w:val="11"/>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2019-12-13T21:50:54Z</dcterms:created>
  <dcterms:modified xsi:type="dcterms:W3CDTF">2019-12-13T21:50:54Z</dcterms:modified>
</cp:coreProperties>
</file>