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Mitchell P. Kopin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4,200,951.00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4,200,951.00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4,200,951.00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B. Asher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4,200,951.00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4,200,951.00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4,200,951.00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59503A204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Intracoastal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4,200,951.00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4,200,951.00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4,200,951.00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Microbot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175 Derby St., Bld. 27, Hingham, MA 02043</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on behalf of (i) Mitchell P. Kopin, an individual ("Mr. Kopin"), (ii) Daniel B. Asher, an individual ("Mr. Asher") and (iii) Intracoastal Capital LLC, a Delaware limited liability company ("Intracoastal" and together with Mr. Kopin and Mr. Asher, collectively the "Reporting Persons").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office of Mr. Kopin and Intracoastal is 245 Palm Trail, Delray Beach, Florida 33483. The principal business office of Mr. Asher is 1011 Lake Street, Suite 311, Oak Park, Illinois 60301.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7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Mr. Kopin is a citizen of the United States of America. Mr. Asher is a citizen of the United States of America. Intracoastal is a Delaware limited liability company.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59503A204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June 30, 2025, each of the Reporting Persons may have been deemed to have beneficial ownership of 4,200,951 shares of Common Stock, which consisted of (i) 7,700 shares of Common Stock held by Intracoastal, (ii) 2,349,488 shares of Common Stock issuable upon exercise of a warrant held by Intracoastal ("Intracoastal Warrant 1") and (ii) 1,843,763 shares of Common Stock issuable upon exercise of a second warrant held by Intracoastal ("Intracoastal Warrant 2"), and all such shares of Common Stock represent beneficial ownership of approximately 9.99% of the Common Stock, based on (1) 36,377,812 shares of Common Stock outstanding as of May 12, 2025, as reported by the Issuer, plus (2) 1,480,504 shares of Common Stock issued by the Issuer since May 13, 2025 (as disclosed on the Form 8-K filed by the Issuer with the Securities and Exchange Commission on June 17, 2025), (3) 2,349,488 shares of Common Stock issuable upon exercise of Intracoastal Warrant 1 and (4) 1,843,763 shares of Common Stock issuable upon exercise of Intracoastal Warrant 2. The foregoing excludes (I) 973,139 shares of Common Stock issuable upon exercise of Intracoastal Warrant 2 because Intracoastal Warrant 2 contains a blocker provision under which the holder thereof does not have the right to exercise Intracoastal Warrant 2 to the extent (but only to the extent) that such exercise would result in beneficial ownership by the holder thereof, together with the holder's affiliates, and any other persons acting as a group together with the holder or any of the holder's affiliates, of more than 9.99% of the Common Stock, (II) 207,224 shares of Common Stock issuable upon exercise of a third warrant held by Intracoastal ("Intracoastal Warrant 3")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and (III) 2,314,286 shares of Common Stock issuable upon exercise of a fourth warrant held by Intracoastal ("Intracoastal Warrant 4") because Intracoastal Warrant 4 contains a blocker provision under which the holder thereof does not have the right to exercise Intracoastal Warrant 4 to the extent (but only to the extent) that such exercise would result in beneficial ownership by the holder thereof, together with the holder's affiliates, and any other persons acting as a group together with the holder or any of the holder's affiliates, of more</w:t>
      </w:r>
    </w:p>
    <w:p>
      <w:pPr>
        <w:sectPr>
          <w:pgSz w:w="11900" w:h="16886" w:orient="portrait"/>
          <w:cols w:equalWidth="0" w:num="1">
            <w:col w:w="11140"/>
          </w:cols>
          <w:pgMar w:left="360" w:top="112" w:right="399" w:bottom="0" w:gutter="0" w:footer="0" w:header="0"/>
        </w:sectPr>
      </w:pPr>
    </w:p>
    <w:bookmarkStart w:id="4" w:name="page5"/>
    <w:bookmarkEnd w:id="4"/>
    <w:p>
      <w:pPr>
        <w:ind w:left="920" w:right="320"/>
        <w:spacing w:after="0" w:line="256" w:lineRule="auto"/>
        <w:rPr>
          <w:sz w:val="20"/>
          <w:szCs w:val="20"/>
          <w:color w:val="auto"/>
        </w:rPr>
      </w:pPr>
      <w:r>
        <w:rPr>
          <w:rFonts w:ascii="Times New Roman" w:cs="Times New Roman" w:eastAsia="Times New Roman" w:hAnsi="Times New Roman"/>
          <w:sz w:val="22"/>
          <w:szCs w:val="22"/>
          <w:color w:val="auto"/>
        </w:rPr>
        <w:t>than 4.99% of the Common Stock. Without such blocker provisions, each of the Reporting Persons may have been deemed to have beneficial ownership of 7,695,600 shares of Common Stock.</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4,200,951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4,200,951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5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Mitchell P. Kopin</w:t>
      </w:r>
    </w:p>
    <w:p>
      <w:pPr>
        <w:spacing w:after="0" w:line="152"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P. Kopin</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Mitchell P. Kopin</w:t>
      </w:r>
    </w:p>
    <w:p>
      <w:pPr>
        <w:spacing w:after="0" w:line="44" w:lineRule="exact"/>
        <w:rPr>
          <w:sz w:val="20"/>
          <w:szCs w:val="20"/>
          <w:color w:val="auto"/>
        </w:rPr>
      </w:pPr>
    </w:p>
    <w:p>
      <w:pPr>
        <w:ind w:left="308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Daniel B. Asher</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B. Asher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Daniel B. Asher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Intracoastal Capital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Mitchell P. Kopin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Mitchell P. Kopin,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sectPr>
      <w:pgSz w:w="11900" w:h="16838" w:orient="portrait"/>
      <w:cols w:equalWidth="0" w:num="1">
        <w:col w:w="11140"/>
      </w:cols>
      <w:pgMar w:left="360" w:top="112" w:right="399" w:bottom="1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2025-08-12T16:35:42Z</dcterms:created>
  <dcterms:modified xsi:type="dcterms:W3CDTF">2025-08-12T16:35:42Z</dcterms:modified>
</cp:coreProperties>
</file>