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KOSHY GEORGE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01/27/2012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40,000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55,917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299"/>
              <w:spacing w:after="0" w:line="217" w:lineRule="exact"/>
              <w:rPr>
                <w:sz w:val="20"/>
                <w:szCs w:val="20"/>
                <w:color w:val="auto"/>
              </w:rPr>
            </w:pPr>
            <w:r>
              <w:rPr>
                <w:rFonts w:ascii="Arial" w:cs="Arial" w:eastAsia="Arial" w:hAnsi="Arial"/>
                <w:sz w:val="18"/>
                <w:szCs w:val="18"/>
                <w:color w:val="0000FF"/>
              </w:rPr>
              <w:t>7,712</w:t>
            </w:r>
            <w:r>
              <w:rPr>
                <w:rFonts w:ascii="Arial" w:cs="Arial" w:eastAsia="Arial" w:hAnsi="Arial"/>
                <w:sz w:val="22"/>
                <w:szCs w:val="22"/>
                <w:color w:val="008000"/>
                <w:vertAlign w:val="superscript"/>
              </w:rPr>
              <w:t>(3)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1/4 vesting on each of the four anniversaries following the grant.</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40,000 restricted stock units, with 10,000 of this vesting on each of January 27, 2013, January 27, 2014, January 27, 2015, and January 27, 2016; (2) 7,500 restricted stock units, with 2,500 of this vesting on each of June 1, 2012, June 1, 2013 and June 1, 2014; and (3) 2,780 restricted stock units, with 1,390 of this vesting on each of May 15, 2012 and May 15, 2013. Amounts reflect automatic adjustments under applicable benefit plans triggered by issuer's 1 for 10 reverse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02/01/2012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778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2019-12-18T02:35:47Z</dcterms:created>
  <dcterms:modified xsi:type="dcterms:W3CDTF">2019-12-18T02:35:47Z</dcterms:modified>
</cp:coreProperties>
</file>