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tabs>
          <w:tab w:leader="none" w:pos="2520" w:val="left"/>
          <w:tab w:leader="none" w:pos="2940" w:val="left"/>
        </w:tabs>
        <w:rPr>
          <w:sz w:val="20"/>
          <w:szCs w:val="20"/>
          <w:color w:val="auto"/>
        </w:rPr>
      </w:pPr>
      <w:r>
        <w:rPr>
          <w:rFonts w:ascii="Courier New" w:cs="Courier New" w:eastAsia="Courier New" w:hAnsi="Courier New"/>
          <w:sz w:val="18"/>
          <w:szCs w:val="18"/>
          <w:color w:val="auto"/>
        </w:rPr>
        <w:t>(Amendment No.</w:t>
        <w:tab/>
        <w:t>1</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CytoTherapeutics, Inc.</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23292310</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 (A fee is not required only if the filing person:</w:t>
      </w:r>
    </w:p>
    <w:p>
      <w:pPr>
        <w:ind w:right="335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 previous statement on file reporting beneficial ownership of more than five percent of the class securities described in Item 1; and (2) has filed no amendment subsequent thereto reporting beneficial ownership of five percent or less of such class.) (See Rule 13d - 7.)</w:t>
      </w:r>
    </w:p>
    <w:p>
      <w:pPr>
        <w:spacing w:after="0" w:line="209" w:lineRule="exact"/>
        <w:rPr>
          <w:sz w:val="24"/>
          <w:szCs w:val="24"/>
          <w:color w:val="auto"/>
        </w:rPr>
      </w:pPr>
    </w:p>
    <w:p>
      <w:pPr>
        <w:ind w:right="335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CUSIP No.  23292310</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13G</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Page   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of 5  Pages</w:t>
            </w:r>
          </w:p>
        </w:tc>
      </w:tr>
      <w:tr>
        <w:trPr>
          <w:trHeight w:val="203"/>
        </w:trPr>
        <w:tc>
          <w:tcPr>
            <w:tcW w:w="2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__________</w:t>
            </w:r>
          </w:p>
        </w:tc>
        <w:tc>
          <w:tcPr>
            <w:tcW w:w="8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___</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State Street Research &amp; Management Company</w:t>
      </w:r>
    </w:p>
    <w:p>
      <w:pPr>
        <w:ind w:left="860"/>
        <w:spacing w:after="0" w:line="238" w:lineRule="auto"/>
        <w:rPr>
          <w:sz w:val="20"/>
          <w:szCs w:val="20"/>
          <w:color w:val="auto"/>
        </w:rPr>
      </w:pPr>
      <w:r>
        <w:rPr>
          <w:rFonts w:ascii="Courier New" w:cs="Courier New" w:eastAsia="Courier New" w:hAnsi="Courier New"/>
          <w:sz w:val="18"/>
          <w:szCs w:val="18"/>
          <w:color w:val="auto"/>
        </w:rPr>
        <w:t>#13-31424135</w:t>
      </w:r>
    </w:p>
    <w:p>
      <w:pPr>
        <w:spacing w:after="0" w:line="202"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380" w:hanging="529"/>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80" w:hanging="529"/>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 is a corporation organized under Delaware</w:t>
      </w:r>
    </w:p>
    <w:p>
      <w:pPr>
        <w:spacing w:after="0"/>
        <w:tabs>
          <w:tab w:leader="none" w:pos="720" w:val="left"/>
        </w:tabs>
        <w:rPr>
          <w:sz w:val="20"/>
          <w:szCs w:val="20"/>
          <w:color w:val="auto"/>
        </w:rPr>
      </w:pPr>
      <w:r>
        <w:rPr>
          <w:rFonts w:ascii="Courier New" w:cs="Courier New" w:eastAsia="Courier New" w:hAnsi="Courier New"/>
          <w:sz w:val="18"/>
          <w:szCs w:val="18"/>
          <w:color w:val="auto"/>
        </w:rPr>
        <w:t>laws.</w:t>
      </w:r>
      <w:r>
        <w:rPr>
          <w:sz w:val="20"/>
          <w:szCs w:val="20"/>
          <w:color w:val="auto"/>
        </w:rPr>
        <w:tab/>
      </w:r>
      <w:r>
        <w:rPr>
          <w:rFonts w:ascii="Courier New" w:cs="Courier New" w:eastAsia="Courier New" w:hAnsi="Courier New"/>
          <w:sz w:val="16"/>
          <w:szCs w:val="16"/>
          <w:color w:val="auto"/>
        </w:rPr>
        <w:t>Principal office of Reporting Person is in Boston, MA.</w:t>
      </w:r>
    </w:p>
    <w:p>
      <w:pPr>
        <w:spacing w:after="0" w:line="200" w:lineRule="exact"/>
        <w:rPr>
          <w:sz w:val="24"/>
          <w:szCs w:val="24"/>
          <w:color w:val="auto"/>
        </w:rPr>
      </w:pP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522,500</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534,000</w:t>
            </w:r>
          </w:p>
        </w:tc>
      </w:tr>
    </w:tbl>
    <w:p>
      <w:pPr>
        <w:spacing w:after="0" w:line="207" w:lineRule="exact"/>
        <w:rPr>
          <w:sz w:val="24"/>
          <w:szCs w:val="24"/>
          <w:color w:val="auto"/>
        </w:rPr>
      </w:pPr>
    </w:p>
    <w:p>
      <w:pPr>
        <w:ind w:left="4220" w:right="3459" w:hanging="841"/>
        <w:spacing w:after="0" w:line="235" w:lineRule="auto"/>
        <w:tabs>
          <w:tab w:leader="none" w:pos="4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- 0 -</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534,000</w:t>
      </w:r>
    </w:p>
    <w:p>
      <w:pPr>
        <w:spacing w:after="0" w:line="207" w:lineRule="exact"/>
        <w:rPr>
          <w:sz w:val="20"/>
          <w:szCs w:val="20"/>
          <w:color w:val="auto"/>
        </w:rPr>
      </w:pPr>
    </w:p>
    <w:p>
      <w:pPr>
        <w:ind w:left="860" w:right="293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700"/>
        <w:spacing w:after="0" w:line="238" w:lineRule="auto"/>
        <w:rPr>
          <w:sz w:val="20"/>
          <w:szCs w:val="20"/>
          <w:color w:val="auto"/>
        </w:rPr>
      </w:pPr>
      <w:r>
        <w:rPr>
          <w:rFonts w:ascii="Courier New" w:cs="Courier New" w:eastAsia="Courier New" w:hAnsi="Courier New"/>
          <w:sz w:val="18"/>
          <w:szCs w:val="18"/>
          <w:color w:val="auto"/>
        </w:rPr>
        <w:t>4.86%</w:t>
      </w:r>
    </w:p>
    <w:p>
      <w:pPr>
        <w:spacing w:after="0" w:line="207" w:lineRule="exact"/>
        <w:rPr>
          <w:sz w:val="20"/>
          <w:szCs w:val="20"/>
          <w:color w:val="auto"/>
        </w:rPr>
      </w:pPr>
    </w:p>
    <w:p>
      <w:pPr>
        <w:ind w:left="2540" w:right="5779" w:hanging="2532"/>
        <w:spacing w:after="0" w:line="536" w:lineRule="auto"/>
        <w:tabs>
          <w:tab w:leader="none" w:pos="85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Investment Adviser</w:t>
      </w:r>
    </w:p>
    <w:p>
      <w:pPr>
        <w:spacing w:after="0" w:line="234" w:lineRule="auto"/>
        <w:rPr>
          <w:sz w:val="20"/>
          <w:szCs w:val="20"/>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G</w:t>
      </w:r>
    </w:p>
    <w:p>
      <w:pPr>
        <w:spacing w:after="0" w:line="201"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CytoTherapeutics, Inc.</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Office</w:t>
      </w:r>
    </w:p>
    <w:p>
      <w:pPr>
        <w:ind w:left="860"/>
        <w:spacing w:after="0" w:line="238" w:lineRule="auto"/>
        <w:rPr>
          <w:sz w:val="20"/>
          <w:szCs w:val="20"/>
          <w:color w:val="auto"/>
        </w:rPr>
      </w:pPr>
      <w:r>
        <w:rPr>
          <w:rFonts w:ascii="Courier New" w:cs="Courier New" w:eastAsia="Courier New" w:hAnsi="Courier New"/>
          <w:sz w:val="18"/>
          <w:szCs w:val="18"/>
          <w:color w:val="auto"/>
        </w:rPr>
        <w:t>Two Richmond Square</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200"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ind w:left="860"/>
        <w:spacing w:after="0" w:line="238" w:lineRule="auto"/>
        <w:rPr>
          <w:sz w:val="20"/>
          <w:szCs w:val="20"/>
          <w:color w:val="auto"/>
        </w:rPr>
      </w:pPr>
      <w:r>
        <w:rPr>
          <w:rFonts w:ascii="Courier New" w:cs="Courier New" w:eastAsia="Courier New" w:hAnsi="Courier New"/>
          <w:sz w:val="18"/>
          <w:szCs w:val="18"/>
          <w:color w:val="auto"/>
        </w:rPr>
        <w:t>State Research &amp; Management Company</w:t>
      </w:r>
    </w:p>
    <w:p>
      <w:pPr>
        <w:spacing w:after="0" w:line="207"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One Financial Center,</w:t>
      </w:r>
      <w:r>
        <w:rPr>
          <w:sz w:val="20"/>
          <w:szCs w:val="20"/>
          <w:color w:val="auto"/>
        </w:rPr>
        <w:tab/>
      </w:r>
      <w:r>
        <w:rPr>
          <w:rFonts w:ascii="Courier New" w:cs="Courier New" w:eastAsia="Courier New" w:hAnsi="Courier New"/>
          <w:sz w:val="16"/>
          <w:szCs w:val="16"/>
          <w:color w:val="auto"/>
        </w:rPr>
        <w:t>30th Floor</w:t>
      </w:r>
    </w:p>
    <w:p>
      <w:pPr>
        <w:ind w:left="860"/>
        <w:spacing w:after="0" w:line="238" w:lineRule="auto"/>
        <w:tabs>
          <w:tab w:leader="none" w:pos="1780" w:val="left"/>
        </w:tabs>
        <w:rPr>
          <w:sz w:val="20"/>
          <w:szCs w:val="20"/>
          <w:color w:val="auto"/>
        </w:rPr>
      </w:pPr>
      <w:r>
        <w:rPr>
          <w:rFonts w:ascii="Courier New" w:cs="Courier New" w:eastAsia="Courier New" w:hAnsi="Courier New"/>
          <w:sz w:val="18"/>
          <w:szCs w:val="18"/>
          <w:color w:val="auto"/>
        </w:rPr>
        <w:t>Boston,</w:t>
        <w:tab/>
        <w:t>MA 02111-2690</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spacing w:after="0" w:line="4" w:lineRule="exact"/>
        <w:rPr>
          <w:sz w:val="20"/>
          <w:szCs w:val="20"/>
          <w:color w:val="auto"/>
        </w:rPr>
      </w:pPr>
    </w:p>
    <w:p>
      <w:pPr>
        <w:jc w:val="both"/>
        <w:ind w:right="4099" w:firstLine="843"/>
        <w:spacing w:after="0" w:line="236" w:lineRule="auto"/>
        <w:rPr>
          <w:sz w:val="20"/>
          <w:szCs w:val="20"/>
          <w:color w:val="auto"/>
        </w:rPr>
      </w:pPr>
      <w:r>
        <w:rPr>
          <w:rFonts w:ascii="Courier New" w:cs="Courier New" w:eastAsia="Courier New" w:hAnsi="Courier New"/>
          <w:sz w:val="18"/>
          <w:szCs w:val="18"/>
          <w:color w:val="auto"/>
        </w:rPr>
        <w:t>Reporting Person is a corporation organized under Delaware laws. Principal office of Reporting Person is in Boston, MA</w:t>
      </w:r>
    </w:p>
    <w:p>
      <w:pPr>
        <w:spacing w:after="0" w:line="203"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ind w:left="860"/>
        <w:spacing w:after="0" w:line="238" w:lineRule="auto"/>
        <w:rPr>
          <w:sz w:val="20"/>
          <w:szCs w:val="20"/>
          <w:color w:val="auto"/>
        </w:rPr>
      </w:pPr>
      <w:r>
        <w:rPr>
          <w:rFonts w:ascii="Courier New" w:cs="Courier New" w:eastAsia="Courier New" w:hAnsi="Courier New"/>
          <w:sz w:val="18"/>
          <w:szCs w:val="18"/>
          <w:color w:val="auto"/>
        </w:rPr>
        <w:t>23292310</w:t>
      </w:r>
    </w:p>
    <w:p>
      <w:pPr>
        <w:spacing w:after="0" w:line="207" w:lineRule="exact"/>
        <w:rPr>
          <w:sz w:val="20"/>
          <w:szCs w:val="20"/>
          <w:color w:val="auto"/>
        </w:rPr>
      </w:pPr>
    </w:p>
    <w:p>
      <w:pPr>
        <w:ind w:right="3359" w:firstLine="843"/>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 ] Broker or Dealer registered under Section 15 of the</w:t>
      </w:r>
    </w:p>
    <w:p>
      <w:pPr>
        <w:spacing w:after="0" w:line="238" w:lineRule="auto"/>
        <w:rPr>
          <w:sz w:val="20"/>
          <w:szCs w:val="20"/>
          <w:color w:val="auto"/>
        </w:rPr>
      </w:pPr>
      <w:r>
        <w:rPr>
          <w:rFonts w:ascii="Courier New" w:cs="Courier New" w:eastAsia="Courier New" w:hAnsi="Courier New"/>
          <w:sz w:val="18"/>
          <w:szCs w:val="18"/>
          <w:color w:val="auto"/>
        </w:rPr>
        <w:t>Act</w:t>
      </w:r>
    </w:p>
    <w:p>
      <w:pPr>
        <w:ind w:left="1280" w:hanging="429"/>
        <w:spacing w:after="0"/>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 (a) (6) of the Act</w:t>
      </w: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 (a) (19)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Act</w:t>
      </w:r>
    </w:p>
    <w:p>
      <w:pPr>
        <w:spacing w:after="0" w:line="4" w:lineRule="exact"/>
        <w:rPr>
          <w:rFonts w:ascii="Courier New" w:cs="Courier New" w:eastAsia="Courier New" w:hAnsi="Courier New"/>
          <w:sz w:val="18"/>
          <w:szCs w:val="18"/>
          <w:color w:val="auto"/>
        </w:rPr>
      </w:pPr>
    </w:p>
    <w:p>
      <w:pPr>
        <w:ind w:right="3459" w:firstLine="851"/>
        <w:spacing w:after="0" w:line="235" w:lineRule="auto"/>
        <w:tabs>
          <w:tab w:leader="none" w:pos="126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right="3259" w:firstLine="851"/>
        <w:spacing w:after="0" w:line="235" w:lineRule="auto"/>
        <w:tabs>
          <w:tab w:leader="none" w:pos="126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right="3679" w:firstLine="851"/>
        <w:spacing w:after="0" w:line="268" w:lineRule="auto"/>
        <w:tabs>
          <w:tab w:leader="none" w:pos="126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(ii) (F)</w:t>
      </w:r>
    </w:p>
    <w:p>
      <w:pPr>
        <w:spacing w:after="0" w:line="4" w:lineRule="exact"/>
        <w:rPr>
          <w:rFonts w:ascii="Courier New" w:cs="Courier New" w:eastAsia="Courier New" w:hAnsi="Courier New"/>
          <w:sz w:val="18"/>
          <w:szCs w:val="18"/>
          <w:color w:val="auto"/>
        </w:rPr>
      </w:pPr>
    </w:p>
    <w:p>
      <w:pPr>
        <w:ind w:right="3259" w:firstLine="851"/>
        <w:spacing w:after="0" w:line="235" w:lineRule="auto"/>
        <w:tabs>
          <w:tab w:leader="none" w:pos="1264"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240.13d-1 (b) (ii) (G) (Note: See Item 7)</w:t>
      </w:r>
    </w:p>
    <w:p>
      <w:pPr>
        <w:spacing w:after="0" w:line="1"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 (b) (1)</w:t>
      </w: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G</w:t>
      </w:r>
    </w:p>
    <w:p>
      <w:pPr>
        <w:spacing w:after="0" w:line="201"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If the percent of the class owned, as of December 31 of the year covered by the statement, or as of the last day of any month described in Rule 13d-1(b) (2), if applicable, exceeds five percent, provide the following information as of that date and identify those shares which there is a right to acquire.</w:t>
      </w:r>
    </w:p>
    <w:p>
      <w:pPr>
        <w:spacing w:after="0" w:line="179" w:lineRule="exact"/>
        <w:rPr>
          <w:sz w:val="20"/>
          <w:szCs w:val="20"/>
          <w:color w:val="auto"/>
        </w:rPr>
      </w:pPr>
    </w:p>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534,000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4.86%</w:t>
      </w:r>
    </w:p>
    <w:p>
      <w:pPr>
        <w:sectPr>
          <w:pgSz w:w="11900" w:h="16838" w:orient="portrait"/>
          <w:cols w:equalWidth="0" w:num="1">
            <w:col w:w="10219"/>
          </w:cols>
          <w:pgMar w:left="240" w:top="136" w:right="1440" w:bottom="0" w:gutter="0" w:footer="0" w:header="0"/>
        </w:sectPr>
      </w:pPr>
    </w:p>
    <w:bookmarkStart w:id="2" w:name="page3"/>
    <w:bookmarkEnd w:id="2"/>
    <w:p>
      <w:pPr>
        <w:ind w:left="1700" w:hanging="84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persons has:</w:t>
      </w:r>
    </w:p>
    <w:p>
      <w:pPr>
        <w:spacing w:after="0" w:line="206" w:lineRule="exact"/>
        <w:rPr>
          <w:rFonts w:ascii="Courier New" w:cs="Courier New" w:eastAsia="Courier New" w:hAnsi="Courier New"/>
          <w:sz w:val="18"/>
          <w:szCs w:val="18"/>
          <w:color w:val="auto"/>
        </w:rPr>
      </w:pPr>
    </w:p>
    <w:p>
      <w:pPr>
        <w:ind w:left="2540" w:right="3999" w:hanging="846"/>
        <w:spacing w:after="0" w:line="235"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522,500</w:t>
      </w:r>
    </w:p>
    <w:p>
      <w:pPr>
        <w:spacing w:after="0" w:line="5" w:lineRule="exact"/>
        <w:rPr>
          <w:rFonts w:ascii="Courier New" w:cs="Courier New" w:eastAsia="Courier New" w:hAnsi="Courier New"/>
          <w:sz w:val="18"/>
          <w:szCs w:val="18"/>
          <w:color w:val="auto"/>
        </w:rPr>
      </w:pPr>
    </w:p>
    <w:p>
      <w:pPr>
        <w:ind w:left="2540" w:right="3779" w:hanging="846"/>
        <w:spacing w:after="0" w:line="235"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5" w:lineRule="exact"/>
        <w:rPr>
          <w:rFonts w:ascii="Courier New" w:cs="Courier New" w:eastAsia="Courier New" w:hAnsi="Courier New"/>
          <w:sz w:val="18"/>
          <w:szCs w:val="18"/>
          <w:color w:val="auto"/>
        </w:rPr>
      </w:pPr>
    </w:p>
    <w:p>
      <w:pPr>
        <w:ind w:left="2540" w:right="3679" w:hanging="846"/>
        <w:spacing w:after="0" w:line="235"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534,000</w:t>
      </w:r>
    </w:p>
    <w:p>
      <w:pPr>
        <w:spacing w:after="0" w:line="5" w:lineRule="exact"/>
        <w:rPr>
          <w:rFonts w:ascii="Courier New" w:cs="Courier New" w:eastAsia="Courier New" w:hAnsi="Courier New"/>
          <w:sz w:val="18"/>
          <w:szCs w:val="18"/>
          <w:color w:val="auto"/>
        </w:rPr>
      </w:pPr>
    </w:p>
    <w:p>
      <w:pPr>
        <w:ind w:left="2540" w:right="3899" w:hanging="846"/>
        <w:spacing w:after="0" w:line="235"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8" w:lineRule="exact"/>
        <w:rPr>
          <w:sz w:val="20"/>
          <w:szCs w:val="20"/>
          <w:color w:val="auto"/>
        </w:rPr>
      </w:pPr>
    </w:p>
    <w:p>
      <w:pPr>
        <w:ind w:right="3459" w:firstLine="843"/>
        <w:spacing w:after="0" w:line="235" w:lineRule="auto"/>
        <w:rPr>
          <w:sz w:val="20"/>
          <w:szCs w:val="20"/>
          <w:color w:val="auto"/>
        </w:rPr>
      </w:pPr>
      <w:r>
        <w:rPr>
          <w:rFonts w:ascii="Courier New" w:cs="Courier New" w:eastAsia="Courier New" w:hAnsi="Courier New"/>
          <w:sz w:val="18"/>
          <w:szCs w:val="18"/>
          <w:color w:val="auto"/>
        </w:rPr>
        <w:t>State Street Research &amp; Management Company disclaims any beneficial interest in any of the foregoing securities.</w:t>
      </w:r>
    </w:p>
    <w:p>
      <w:pPr>
        <w:spacing w:after="0" w:line="203"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219"/>
          </w:cols>
          <w:pgMar w:left="240" w:top="136" w:right="1440" w:bottom="0" w:gutter="0" w:footer="0" w:header="0"/>
        </w:sectPr>
      </w:pP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w:t>
      </w:r>
    </w:p>
    <w:p>
      <w:pPr>
        <w:spacing w:after="0" w:line="402" w:lineRule="exact"/>
        <w:rPr>
          <w:sz w:val="20"/>
          <w:szCs w:val="20"/>
          <w:color w:val="auto"/>
        </w:rPr>
      </w:pPr>
    </w:p>
    <w:p>
      <w:pPr>
        <w:sectPr>
          <w:pgSz w:w="11900" w:h="16838" w:orient="portrait"/>
          <w:cols w:equalWidth="0" w:num="2">
            <w:col w:w="1580" w:space="120"/>
            <w:col w:w="8519"/>
          </w:cols>
          <w:pgMar w:left="240" w:top="136" w:right="1440" w:bottom="0" w:gutter="0" w:footer="0" w:header="0"/>
          <w:type w:val="continuous"/>
        </w:sectPr>
      </w:pPr>
    </w:p>
    <w:p>
      <w:pPr>
        <w:spacing w:after="0" w:line="2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All foregoing shares are in fact owned by clients of State Street Research &amp; Management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G</w:t>
      </w:r>
    </w:p>
    <w:p>
      <w:pPr>
        <w:spacing w:after="0" w:line="201"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Identification and Classification of the Subsidiary Which</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8" w:lineRule="exact"/>
        <w:rPr>
          <w:sz w:val="20"/>
          <w:szCs w:val="20"/>
          <w:color w:val="auto"/>
        </w:rPr>
      </w:pPr>
    </w:p>
    <w:p>
      <w:pPr>
        <w:ind w:right="3479"/>
        <w:spacing w:after="0" w:line="272" w:lineRule="auto"/>
        <w:rPr>
          <w:sz w:val="20"/>
          <w:szCs w:val="20"/>
          <w:color w:val="auto"/>
        </w:rPr>
      </w:pPr>
      <w:r>
        <w:rPr>
          <w:rFonts w:ascii="Courier New" w:cs="Courier New" w:eastAsia="Courier New" w:hAnsi="Courier New"/>
          <w:sz w:val="16"/>
          <w:szCs w:val="16"/>
          <w:color w:val="auto"/>
        </w:rPr>
        <w:t>If a parent holding company has filed this schedule, pursuant to Rule 13d-1(b) (ii) (G), so indicate under Item 3 (g)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80"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group has filed this schedule pursuant to Rule 13d-1 (b)</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 so indicate under Item 3(b) and attach an exhibit</w:t>
      </w:r>
    </w:p>
    <w:p>
      <w:pPr>
        <w:spacing w:after="0" w:line="4"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the identity and Item 3 classification of each member of the group. If a group has filed this schedule pursuant to Rule 13d-1(c), attach an exhibit stating the identity of each member of the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1996</w:t>
      </w:r>
    </w:p>
    <w:p>
      <w:pPr>
        <w:ind w:left="860"/>
        <w:spacing w:after="0" w:line="238" w:lineRule="auto"/>
        <w:tabs>
          <w:tab w:leader="none" w:pos="25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Richard D. Shoemaker</w:t>
      </w:r>
    </w:p>
    <w:p>
      <w:pPr>
        <w:ind w:left="1700"/>
        <w:spacing w:after="0"/>
        <w:rPr>
          <w:sz w:val="20"/>
          <w:szCs w:val="20"/>
          <w:color w:val="auto"/>
        </w:rPr>
      </w:pPr>
      <w:r>
        <w:rPr>
          <w:rFonts w:ascii="Courier New" w:cs="Courier New" w:eastAsia="Courier New" w:hAnsi="Courier New"/>
          <w:sz w:val="18"/>
          <w:szCs w:val="18"/>
          <w:color w:val="auto"/>
        </w:rPr>
        <w:t>Richard D. Shoemaker</w:t>
      </w:r>
    </w:p>
    <w:p>
      <w:pPr>
        <w:ind w:left="1700"/>
        <w:spacing w:after="0" w:line="237" w:lineRule="auto"/>
        <w:rPr>
          <w:sz w:val="20"/>
          <w:szCs w:val="20"/>
          <w:color w:val="auto"/>
        </w:rPr>
      </w:pPr>
      <w:r>
        <w:rPr>
          <w:rFonts w:ascii="Courier New" w:cs="Courier New" w:eastAsia="Courier New" w:hAnsi="Courier New"/>
          <w:sz w:val="18"/>
          <w:szCs w:val="18"/>
          <w:color w:val="auto"/>
        </w:rPr>
        <w:t>Sr. 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lvl w:ilvl="1">
      <w:lvlJc w:val="left"/>
      <w:lvlText w:val="(%2)"/>
      <w:numFmt w:val="lowerLetter"/>
      <w:start w:val="1"/>
    </w:lvl>
  </w:abstractNum>
  <w:abstractNum w:abstractNumId="4">
    <w:nsid w:val="12200854"/>
    <w:multiLevelType w:val="hybridMultilevel"/>
    <w:lvl w:ilvl="0">
      <w:lvlJc w:val="left"/>
      <w:lvlText w:val="%1"/>
      <w:numFmt w:val="decimal"/>
      <w:start w:val="1"/>
    </w:lvl>
    <w:lvl w:ilvl="1">
      <w:lvlJc w:val="left"/>
      <w:lvlText w:val="%2."/>
      <w:numFmt w:val="decimal"/>
      <w:start w:val="8"/>
    </w:lvl>
  </w:abstractNum>
  <w:abstractNum w:abstractNumId="5">
    <w:nsid w:val="4DB127F8"/>
    <w:multiLevelType w:val="hybridMultilevel"/>
    <w:lvl w:ilvl="0">
      <w:lvlJc w:val="left"/>
      <w:lvlText w:val="%1."/>
      <w:numFmt w:val="decimal"/>
      <w:start w:val="9"/>
    </w:lvl>
    <w:lvl w:ilvl="1">
      <w:lvlJc w:val="left"/>
      <w:lvlText w:val="%2"/>
      <w:numFmt w:val="decimal"/>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lowerLetter"/>
      <w:start w:val="1"/>
    </w:lvl>
    <w:lvl w:ilvl="1">
      <w:lvlJc w:val="left"/>
      <w:lvlText w:val="(%2)"/>
      <w:numFmt w:val="lowerLetter"/>
      <w:start w:val="2"/>
    </w:lvl>
  </w:abstractNum>
  <w:abstractNum w:abstractNumId="9">
    <w:nsid w:val="66EF438D"/>
    <w:multiLevelType w:val="hybridMultilevel"/>
    <w:lvl w:ilvl="0">
      <w:lvlJc w:val="left"/>
      <w:lvlText w:val="(%1)"/>
      <w:numFmt w:val="lowerLetter"/>
      <w:start w:val="2"/>
    </w:lvl>
    <w:lvl w:ilvl="1">
      <w:lvlJc w:val="left"/>
      <w:lvlText w:val="(%2)"/>
      <w:numFmt w:val="lowerLetter"/>
      <w:start w:val="7"/>
    </w:lvl>
  </w:abstractNum>
  <w:abstractNum w:abstractNumId="10">
    <w:nsid w:val="140E0F76"/>
    <w:multiLevelType w:val="hybridMultilevel"/>
    <w:lvl w:ilvl="0">
      <w:lvlJc w:val="left"/>
      <w:lvlText w:val="(%1)"/>
      <w:numFmt w:val="lowerLetter"/>
      <w:start w:val="35"/>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lvl w:ilvl="1">
      <w:lvlJc w:val="left"/>
      <w:lvlText w:val="(%2)"/>
      <w:numFmt w:val="lowerRoman"/>
      <w:start w:val="1"/>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2019-12-13T21:03:00Z</dcterms:created>
  <dcterms:modified xsi:type="dcterms:W3CDTF">2019-12-13T21:03:00Z</dcterms:modified>
</cp:coreProperties>
</file>