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5"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highlight w:val="black"/>
        </w:rPr>
      </w:pPr>
    </w:p>
    <w:p>
      <w:pPr>
        <w:ind w:left="392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 to _____</w:t>
      </w:r>
    </w:p>
    <w:p>
      <w:pPr>
        <w:spacing w:after="0" w:line="225" w:lineRule="exact"/>
        <w:rPr>
          <w:rFonts w:ascii="MS PGothic" w:cs="MS PGothic" w:eastAsia="MS PGothic" w:hAnsi="MS PGothic"/>
          <w:sz w:val="17"/>
          <w:szCs w:val="17"/>
          <w:color w:val="auto"/>
          <w:highlight w:val="black"/>
        </w:rPr>
      </w:pPr>
    </w:p>
    <w:p>
      <w:pPr>
        <w:ind w:left="424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ind w:left="2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259"/>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2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25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60" w:type="dxa"/>
            <w:vAlign w:val="bottom"/>
            <w:vMerge w:val="restart"/>
          </w:tcPr>
          <w:p>
            <w:pPr>
              <w:ind w:left="600"/>
              <w:spacing w:after="0" w:line="207" w:lineRule="exact"/>
              <w:rPr>
                <w:sz w:val="20"/>
                <w:szCs w:val="20"/>
                <w:color w:val="auto"/>
              </w:rPr>
            </w:pPr>
            <w:r>
              <w:rPr>
                <w:rFonts w:ascii="Arial" w:cs="Arial" w:eastAsia="Arial" w:hAnsi="Arial"/>
                <w:sz w:val="18"/>
                <w:szCs w:val="18"/>
                <w:color w:val="auto"/>
                <w:w w:val="90"/>
              </w:rPr>
              <w:t xml:space="preserve">Emerging growth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83"/>
        </w:trPr>
        <w:tc>
          <w:tcPr>
            <w:tcW w:w="26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2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25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25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7,108,133 shares of Common Stock, $0.01 par value at May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80" w:type="dxa"/>
            <w:vAlign w:val="bottom"/>
            <w:gridSpan w:val="8"/>
          </w:tcPr>
          <w:p>
            <w:pPr>
              <w:jc w:val="center"/>
              <w:ind w:right="1600"/>
              <w:spacing w:after="0"/>
              <w:rPr>
                <w:sz w:val="20"/>
                <w:szCs w:val="20"/>
                <w:color w:val="auto"/>
              </w:rPr>
            </w:pPr>
            <w:r>
              <w:rPr>
                <w:rFonts w:ascii="Arial" w:cs="Arial" w:eastAsia="Arial" w:hAnsi="Arial"/>
                <w:sz w:val="18"/>
                <w:szCs w:val="18"/>
                <w:b w:val="1"/>
                <w:bCs w:val="1"/>
                <w:color w:val="auto"/>
              </w:rPr>
              <w:t>MICROBOT MEDICAL INC. AND SUBSIDIARIES</w:t>
            </w:r>
          </w:p>
        </w:tc>
        <w:tc>
          <w:tcPr>
            <w:tcW w:w="13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5"/>
          </w:tcPr>
          <w:p>
            <w:pPr>
              <w:jc w:val="center"/>
              <w:ind w:right="3660"/>
              <w:spacing w:after="0"/>
              <w:rPr>
                <w:sz w:val="20"/>
                <w:szCs w:val="20"/>
                <w:color w:val="auto"/>
              </w:rPr>
            </w:pPr>
            <w:r>
              <w:rPr>
                <w:rFonts w:ascii="Arial" w:cs="Arial" w:eastAsia="Arial" w:hAnsi="Arial"/>
                <w:sz w:val="18"/>
                <w:szCs w:val="18"/>
                <w:color w:val="auto"/>
                <w:w w:val="90"/>
              </w:rPr>
              <w:t>Index</w:t>
            </w:r>
          </w:p>
        </w:tc>
        <w:tc>
          <w:tcPr>
            <w:tcW w:w="13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9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320" w:type="dxa"/>
            <w:vAlign w:val="bottom"/>
            <w:shd w:val="clear" w:color="auto" w:fill="CCEEFF"/>
          </w:tcPr>
          <w:p>
            <w:pPr>
              <w:spacing w:after="0"/>
              <w:rPr>
                <w:sz w:val="18"/>
                <w:szCs w:val="18"/>
                <w:color w:val="auto"/>
              </w:rPr>
            </w:pPr>
          </w:p>
        </w:tc>
      </w:tr>
      <w:tr>
        <w:trPr>
          <w:trHeight w:val="216"/>
        </w:trPr>
        <w:tc>
          <w:tcPr>
            <w:tcW w:w="9920" w:type="dxa"/>
            <w:vAlign w:val="bottom"/>
            <w:gridSpan w:val="16"/>
          </w:tcPr>
          <w:p>
            <w:pPr>
              <w:spacing w:after="0"/>
              <w:rPr>
                <w:sz w:val="20"/>
                <w:szCs w:val="20"/>
                <w:color w:val="auto"/>
              </w:rPr>
            </w:pPr>
            <w:r>
              <w:rPr>
                <w:rFonts w:ascii="Arial" w:cs="Arial" w:eastAsia="Arial" w:hAnsi="Arial"/>
                <w:sz w:val="18"/>
                <w:szCs w:val="18"/>
                <w:color w:val="auto"/>
              </w:rPr>
              <w:t>Item 1 - Financial Statements</w:t>
            </w:r>
          </w:p>
        </w:tc>
        <w:tc>
          <w:tcPr>
            <w:tcW w:w="1320" w:type="dxa"/>
            <w:vAlign w:val="bottom"/>
          </w:tcPr>
          <w:p>
            <w:pPr>
              <w:spacing w:after="0"/>
              <w:rPr>
                <w:sz w:val="18"/>
                <w:szCs w:val="18"/>
                <w:color w:val="auto"/>
              </w:rPr>
            </w:pPr>
          </w:p>
        </w:tc>
      </w:tr>
      <w:tr>
        <w:trPr>
          <w:trHeight w:val="196"/>
        </w:trPr>
        <w:tc>
          <w:tcPr>
            <w:tcW w:w="76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Balance Sheets as of March 31, 2022 (Unaudited) and December 31, 2021 (Audited)</w:t>
              </w:r>
            </w:hyperlink>
          </w:p>
        </w:tc>
        <w:tc>
          <w:tcPr>
            <w:tcW w:w="2240" w:type="dxa"/>
            <w:vAlign w:val="bottom"/>
            <w:tcBorders>
              <w:bottom w:val="single" w:sz="8" w:color="CCEEFF"/>
            </w:tcBorders>
            <w:gridSpan w:val="3"/>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9920" w:type="dxa"/>
            <w:vAlign w:val="bottom"/>
            <w:gridSpan w:val="16"/>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Interim Consolidated Statements of Comprehensive Loss for the Three Months Ended March 31, 2022 and 2021 (Unaudited)</w:t>
              </w:r>
            </w:hyperlink>
          </w:p>
        </w:tc>
        <w:tc>
          <w:tcPr>
            <w:tcW w:w="13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Interim Consolidated Statements of Shareholders’ Equity for the Three Months Ended March 31, 2022 and 2021 (Unaudited)</w:t>
              </w:r>
            </w:hyperlink>
          </w:p>
        </w:tc>
        <w:tc>
          <w:tcPr>
            <w:tcW w:w="132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3</w:t>
            </w:r>
          </w:p>
        </w:tc>
      </w:tr>
      <w:tr>
        <w:trPr>
          <w:trHeight w:val="176"/>
        </w:trPr>
        <w:tc>
          <w:tcPr>
            <w:tcW w:w="9020" w:type="dxa"/>
            <w:vAlign w:val="bottom"/>
            <w:tcBorders>
              <w:top w:val="single" w:sz="8" w:color="0000EE"/>
            </w:tcBorders>
            <w:gridSpan w:val="15"/>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Interim Consolidated Statements of Cash Flows for the Three Months Ended March 31, 2022 and 2021 (Unaudited)</w:t>
              </w:r>
            </w:hyperlink>
          </w:p>
        </w:tc>
        <w:tc>
          <w:tcPr>
            <w:tcW w:w="90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180" w:type="dxa"/>
            <w:vAlign w:val="bottom"/>
            <w:tcBorders>
              <w:bottom w:val="single" w:sz="8" w:color="CCEEFF"/>
            </w:tcBorders>
            <w:gridSpan w:val="7"/>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79"/>
              </w:rPr>
              <w:t>5</w:t>
            </w:r>
          </w:p>
        </w:tc>
      </w:tr>
      <w:tr>
        <w:trPr>
          <w:trHeight w:val="175"/>
        </w:trPr>
        <w:tc>
          <w:tcPr>
            <w:tcW w:w="9920" w:type="dxa"/>
            <w:vAlign w:val="bottom"/>
            <w:gridSpan w:val="1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2 - Management’s Discussion and Analysis of Financial Condition and Results of Operations</w:t>
              </w:r>
            </w:hyperlink>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3 - Quantitative and Qualitative Disclosures About Market Risk</w:t>
              </w:r>
            </w:hyperlink>
          </w:p>
        </w:tc>
        <w:tc>
          <w:tcPr>
            <w:tcW w:w="4940" w:type="dxa"/>
            <w:vAlign w:val="bottom"/>
            <w:tcBorders>
              <w:bottom w:val="single" w:sz="8" w:color="CCEEFF"/>
            </w:tcBorders>
            <w:gridSpan w:val="5"/>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17</w:t>
            </w:r>
          </w:p>
        </w:tc>
      </w:tr>
      <w:tr>
        <w:trPr>
          <w:trHeight w:val="176"/>
        </w:trPr>
        <w:tc>
          <w:tcPr>
            <w:tcW w:w="9920" w:type="dxa"/>
            <w:vAlign w:val="bottom"/>
            <w:gridSpan w:val="16"/>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4 - Controls and Procedures</w:t>
              </w:r>
            </w:hyperlink>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17</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1320" w:type="dxa"/>
            <w:vAlign w:val="bottom"/>
            <w:shd w:val="clear" w:color="auto" w:fill="CCEEFF"/>
          </w:tcPr>
          <w:p>
            <w:pPr>
              <w:spacing w:after="0"/>
              <w:rPr>
                <w:sz w:val="17"/>
                <w:szCs w:val="17"/>
                <w:color w:val="auto"/>
              </w:rPr>
            </w:pPr>
          </w:p>
        </w:tc>
      </w:tr>
      <w:tr>
        <w:trPr>
          <w:trHeight w:val="175"/>
        </w:trPr>
        <w:tc>
          <w:tcPr>
            <w:tcW w:w="2120" w:type="dxa"/>
            <w:vAlign w:val="bottom"/>
            <w:tcBorders>
              <w:top w:val="single" w:sz="8" w:color="0000EE"/>
            </w:tcBorders>
            <w:gridSpan w:val="6"/>
          </w:tcPr>
          <w:p>
            <w:pPr>
              <w:spacing w:after="0" w:line="17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Item 1 - Legal Proceedings</w:t>
              </w:r>
            </w:hyperlink>
          </w:p>
        </w:tc>
        <w:tc>
          <w:tcPr>
            <w:tcW w:w="7800" w:type="dxa"/>
            <w:vAlign w:val="bottom"/>
            <w:tcBorders>
              <w:top w:val="single" w:sz="8" w:color="CCEEFF"/>
            </w:tcBorders>
            <w:gridSpan w:val="10"/>
          </w:tcPr>
          <w:p>
            <w:pPr>
              <w:spacing w:after="0"/>
              <w:rPr>
                <w:sz w:val="15"/>
                <w:szCs w:val="15"/>
                <w:color w:val="auto"/>
              </w:rPr>
            </w:pPr>
          </w:p>
        </w:tc>
        <w:tc>
          <w:tcPr>
            <w:tcW w:w="132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1A - Risk Factors</w:t>
              </w:r>
            </w:hyperlink>
          </w:p>
        </w:tc>
        <w:tc>
          <w:tcPr>
            <w:tcW w:w="8260" w:type="dxa"/>
            <w:vAlign w:val="bottom"/>
            <w:tcBorders>
              <w:bottom w:val="single" w:sz="8" w:color="CCEEFF"/>
            </w:tcBorders>
            <w:gridSpan w:val="13"/>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992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 Unregistered Sales of Equity Securities and Use of Proceeds</w:t>
              </w:r>
            </w:hyperlink>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3 - Defaults Upon Senior Securities</w:t>
              </w:r>
            </w:hyperlink>
          </w:p>
        </w:tc>
        <w:tc>
          <w:tcPr>
            <w:tcW w:w="13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176"/>
        </w:trPr>
        <w:tc>
          <w:tcPr>
            <w:tcW w:w="29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4 - Mine Safety Disclosures</w:t>
              </w:r>
            </w:hyperlink>
          </w:p>
        </w:tc>
        <w:tc>
          <w:tcPr>
            <w:tcW w:w="6980" w:type="dxa"/>
            <w:vAlign w:val="bottom"/>
            <w:tcBorders>
              <w:top w:val="single" w:sz="8" w:color="CCEEFF"/>
            </w:tcBorders>
            <w:gridSpan w:val="8"/>
          </w:tcPr>
          <w:p>
            <w:pPr>
              <w:spacing w:after="0"/>
              <w:rPr>
                <w:sz w:val="15"/>
                <w:szCs w:val="15"/>
                <w:color w:val="auto"/>
              </w:rPr>
            </w:pPr>
          </w:p>
        </w:tc>
        <w:tc>
          <w:tcPr>
            <w:tcW w:w="1320" w:type="dxa"/>
            <w:vAlign w:val="bottom"/>
            <w:tcBorders>
              <w:top w:val="single" w:sz="8" w:color="CCEEFF"/>
            </w:tcBorders>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Item 5 - Other Information</w:t>
              </w:r>
            </w:hyperlink>
          </w:p>
        </w:tc>
        <w:tc>
          <w:tcPr>
            <w:tcW w:w="7980" w:type="dxa"/>
            <w:vAlign w:val="bottom"/>
            <w:tcBorders>
              <w:bottom w:val="single" w:sz="8" w:color="CCEEFF"/>
            </w:tcBorders>
            <w:gridSpan w:val="12"/>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9920" w:type="dxa"/>
            <w:vAlign w:val="bottom"/>
            <w:gridSpan w:val="1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6 - Exhibits</w:t>
              </w:r>
            </w:hyperlink>
          </w:p>
        </w:tc>
        <w:tc>
          <w:tcPr>
            <w:tcW w:w="13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9920" w:type="dxa"/>
            <w:vAlign w:val="bottom"/>
            <w:gridSpan w:val="16"/>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Signatures</w:t>
              </w:r>
            </w:hyperlink>
          </w:p>
        </w:tc>
        <w:tc>
          <w:tcPr>
            <w:tcW w:w="13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89"/>
              </w:rPr>
              <w:t>20</w:t>
            </w:r>
          </w:p>
        </w:tc>
      </w:tr>
      <w:tr>
        <w:trPr>
          <w:trHeight w:val="439"/>
        </w:trPr>
        <w:tc>
          <w:tcPr>
            <w:tcW w:w="8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As of 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As of December 31,</w:t>
            </w:r>
          </w:p>
        </w:tc>
      </w:tr>
      <w:tr>
        <w:trPr>
          <w:trHeight w:val="229"/>
        </w:trPr>
        <w:tc>
          <w:tcPr>
            <w:tcW w:w="5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ind w:right="7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8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Notes</w:t>
            </w:r>
          </w:p>
        </w:tc>
        <w:tc>
          <w:tcPr>
            <w:tcW w:w="22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Audited</w:t>
            </w:r>
          </w:p>
        </w:tc>
      </w:tr>
      <w:tr>
        <w:trPr>
          <w:trHeight w:val="216"/>
        </w:trPr>
        <w:tc>
          <w:tcPr>
            <w:tcW w:w="5860" w:type="dxa"/>
            <w:vAlign w:val="bottom"/>
            <w:tcBorders>
              <w:top w:val="single" w:sz="8" w:color="CCEEFF"/>
            </w:tcBorders>
            <w:shd w:val="clear" w:color="auto" w:fill="CCEEFF"/>
          </w:tcPr>
          <w:p>
            <w:pPr>
              <w:ind w:left="2500"/>
              <w:spacing w:after="0"/>
              <w:rPr>
                <w:sz w:val="20"/>
                <w:szCs w:val="20"/>
                <w:color w:val="auto"/>
              </w:rPr>
            </w:pPr>
            <w:r>
              <w:rPr>
                <w:rFonts w:ascii="Arial" w:cs="Arial" w:eastAsia="Arial" w:hAnsi="Arial"/>
                <w:sz w:val="18"/>
                <w:szCs w:val="18"/>
                <w:color w:val="auto"/>
              </w:rPr>
              <w:t>ASSETS</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0"/>
                <w:szCs w:val="20"/>
                <w:color w:val="auto"/>
              </w:rPr>
            </w:pP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LIABILITIES AND STOCKHOLDERS’ EQUITY</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r>
      <w:tr>
        <w:trPr>
          <w:trHeight w:val="249"/>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21"/>
                <w:szCs w:val="21"/>
                <w:color w:val="auto"/>
              </w:rPr>
            </w:pPr>
          </w:p>
        </w:tc>
      </w:tr>
      <w:tr>
        <w:trPr>
          <w:trHeight w:val="203"/>
        </w:trPr>
        <w:tc>
          <w:tcPr>
            <w:tcW w:w="58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8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21"/>
                <w:szCs w:val="21"/>
                <w:color w:val="auto"/>
              </w:rPr>
            </w:pP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80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2,061</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86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60,000,000 shares authorized as of March</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w w:val="93"/>
              </w:rPr>
              <w:t>31, 2022 and December 31, 2021, 7,108,133 shares issued and outstanding</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 of March 31, 2022 and December 31, 2021</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69,902</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(58,782)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(55,593)</w:t>
            </w:r>
          </w:p>
        </w:tc>
      </w:tr>
      <w:tr>
        <w:trPr>
          <w:trHeight w:val="236"/>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8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0" w:type="dxa"/>
            <w:vAlign w:val="bottom"/>
            <w:gridSpan w:val="5"/>
          </w:tcPr>
          <w:p>
            <w:pPr>
              <w:jc w:val="right"/>
              <w:ind w:right="210"/>
              <w:spacing w:after="0"/>
              <w:rPr>
                <w:sz w:val="20"/>
                <w:szCs w:val="20"/>
                <w:color w:val="auto"/>
              </w:rPr>
            </w:pPr>
            <w:r>
              <w:rPr>
                <w:rFonts w:ascii="Arial" w:cs="Arial" w:eastAsia="Arial" w:hAnsi="Arial"/>
                <w:sz w:val="18"/>
                <w:szCs w:val="18"/>
                <w:color w:val="auto"/>
              </w:rPr>
              <w:t>For the Three Months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20" w:type="dxa"/>
            <w:vAlign w:val="bottom"/>
            <w:gridSpan w:val="4"/>
          </w:tcPr>
          <w:p>
            <w:pPr>
              <w:jc w:val="right"/>
              <w:ind w:right="850"/>
              <w:spacing w:after="0"/>
              <w:rPr>
                <w:sz w:val="20"/>
                <w:szCs w:val="20"/>
                <w:color w:val="auto"/>
              </w:rPr>
            </w:pPr>
            <w:r>
              <w:rPr>
                <w:rFonts w:ascii="Arial" w:cs="Arial" w:eastAsia="Arial" w:hAnsi="Arial"/>
                <w:sz w:val="18"/>
                <w:szCs w:val="18"/>
                <w:color w:val="auto"/>
              </w:rPr>
              <w:t>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36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(1,706)</w:t>
            </w:r>
          </w:p>
        </w:tc>
        <w:tc>
          <w:tcPr>
            <w:tcW w:w="12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36"/>
        </w:trPr>
        <w:tc>
          <w:tcPr>
            <w:tcW w:w="5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5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1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r>
      <w:tr>
        <w:trPr>
          <w:trHeight w:val="257"/>
        </w:trPr>
        <w:tc>
          <w:tcPr>
            <w:tcW w:w="5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CCEEFF"/>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58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8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3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(0.45)</w:t>
            </w: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(0.34)</w:t>
            </w:r>
          </w:p>
        </w:tc>
      </w:tr>
      <w:tr>
        <w:trPr>
          <w:trHeight w:val="197"/>
        </w:trPr>
        <w:tc>
          <w:tcPr>
            <w:tcW w:w="58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weighted average common shares outstanding</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7,108,133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7,108,133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hanging="179"/>
        <w:spacing w:after="0" w:line="291" w:lineRule="auto"/>
        <w:rPr>
          <w:sz w:val="20"/>
          <w:szCs w:val="20"/>
          <w:color w:val="auto"/>
        </w:rPr>
      </w:pPr>
      <w:r>
        <w:rPr>
          <w:rFonts w:ascii="Arial" w:cs="Arial" w:eastAsia="Arial" w:hAnsi="Arial"/>
          <w:sz w:val="16"/>
          <w:szCs w:val="16"/>
          <w:color w:val="auto"/>
        </w:rPr>
        <w:t>Balances, December 31, 2020 (Audited) Share-based compensation</w:t>
      </w:r>
    </w:p>
    <w:p>
      <w:pPr>
        <w:ind w:left="180"/>
        <w:spacing w:after="0"/>
        <w:rPr>
          <w:sz w:val="20"/>
          <w:szCs w:val="20"/>
          <w:color w:val="auto"/>
        </w:rPr>
      </w:pPr>
      <w:r>
        <w:rPr>
          <w:rFonts w:ascii="Arial" w:cs="Arial" w:eastAsia="Arial" w:hAnsi="Arial"/>
          <w:sz w:val="18"/>
          <w:szCs w:val="18"/>
          <w:color w:val="auto"/>
        </w:rPr>
        <w:t>Net loss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Balances, March 31, 2021 (Unaudited)</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3400"/>
        <w:spacing w:after="0"/>
        <w:rPr>
          <w:sz w:val="20"/>
          <w:szCs w:val="20"/>
          <w:color w:val="auto"/>
        </w:rPr>
      </w:pPr>
      <w:r>
        <w:rPr>
          <w:rFonts w:ascii="Arial" w:cs="Arial" w:eastAsia="Arial" w:hAnsi="Arial"/>
          <w:sz w:val="16"/>
          <w:szCs w:val="16"/>
          <w:b w:val="1"/>
          <w:bCs w:val="1"/>
          <w:u w:val="single" w:color="auto"/>
          <w:color w:val="auto"/>
        </w:rPr>
        <w:t>Interim Consolidated Statements of Shareholders’ Equity</w:t>
      </w:r>
    </w:p>
    <w:p>
      <w:pPr>
        <w:spacing w:after="0" w:line="32" w:lineRule="exact"/>
        <w:rPr>
          <w:sz w:val="20"/>
          <w:szCs w:val="20"/>
          <w:color w:val="auto"/>
        </w:rPr>
      </w:pPr>
    </w:p>
    <w:p>
      <w:pPr>
        <w:jc w:val="center"/>
        <w:ind w:right="340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3400"/>
        <w:spacing w:after="0"/>
        <w:rPr>
          <w:sz w:val="20"/>
          <w:szCs w:val="20"/>
          <w:color w:val="auto"/>
        </w:rPr>
      </w:pPr>
      <w:r>
        <w:rPr>
          <w:rFonts w:ascii="Arial" w:cs="Arial" w:eastAsia="Arial" w:hAnsi="Arial"/>
          <w:sz w:val="18"/>
          <w:szCs w:val="18"/>
          <w:b w:val="1"/>
          <w:bCs w:val="1"/>
          <w:color w:val="auto"/>
        </w:rPr>
        <w:t>(Except share data)</w:t>
      </w:r>
    </w:p>
    <w:p>
      <w:pPr>
        <w:spacing w:after="0" w:line="211"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Total</w:t>
            </w:r>
          </w:p>
        </w:tc>
      </w:tr>
      <w:tr>
        <w:trPr>
          <w:trHeight w:val="251"/>
        </w:trPr>
        <w:tc>
          <w:tcPr>
            <w:tcW w:w="2080" w:type="dxa"/>
            <w:vAlign w:val="bottom"/>
            <w:gridSpan w:val="5"/>
          </w:tcPr>
          <w:p>
            <w:pPr>
              <w:jc w:val="right"/>
              <w:ind w:right="56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Paid-In</w:t>
            </w:r>
          </w:p>
        </w:tc>
        <w:tc>
          <w:tcPr>
            <w:tcW w:w="12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Stockholders’</w:t>
            </w:r>
          </w:p>
        </w:tc>
      </w:tr>
      <w:tr>
        <w:trPr>
          <w:trHeight w:val="236"/>
        </w:trPr>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Shares</w:t>
            </w:r>
          </w:p>
        </w:tc>
        <w:tc>
          <w:tcPr>
            <w:tcW w:w="34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Capital</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Deficit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Equity</w:t>
            </w:r>
          </w:p>
        </w:tc>
        <w:tc>
          <w:tcPr>
            <w:tcW w:w="60" w:type="dxa"/>
            <w:vAlign w:val="bottom"/>
            <w:gridSpan w:val="2"/>
          </w:tcPr>
          <w:p>
            <w:pPr>
              <w:spacing w:after="0"/>
              <w:rPr>
                <w:sz w:val="20"/>
                <w:szCs w:val="20"/>
                <w:color w:val="auto"/>
              </w:rPr>
            </w:pPr>
          </w:p>
        </w:tc>
      </w:tr>
      <w:tr>
        <w:trPr>
          <w:trHeight w:val="418"/>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7,108,133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68,516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(44,280)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24,308</w:t>
            </w:r>
          </w:p>
        </w:tc>
        <w:tc>
          <w:tcPr>
            <w:tcW w:w="40" w:type="dxa"/>
            <w:vAlign w:val="bottom"/>
          </w:tcPr>
          <w:p>
            <w:pPr>
              <w:spacing w:after="0"/>
              <w:rPr>
                <w:sz w:val="24"/>
                <w:szCs w:val="24"/>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r>
      <w:tr>
        <w:trPr>
          <w:trHeight w:val="251"/>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(2,388)</w:t>
            </w:r>
          </w:p>
        </w:tc>
      </w:tr>
      <w:tr>
        <w:trPr>
          <w:trHeight w:val="229"/>
        </w:trPr>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7,108,133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68,926</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(46,668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-607695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-334010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00" w:space="520"/>
            <w:col w:w="782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5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Balances, December 31, 2021 (Audited)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7,108,133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69,902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(55,593)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14,381</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(3,189)</w:t>
            </w:r>
          </w:p>
        </w:tc>
      </w:tr>
      <w:tr>
        <w:trPr>
          <w:trHeight w:val="22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2022 (Unaudited)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7,108,133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20" w:type="dxa"/>
            <w:vAlign w:val="bottom"/>
            <w:gridSpan w:val="5"/>
          </w:tcPr>
          <w:p>
            <w:pPr>
              <w:jc w:val="right"/>
              <w:ind w:right="347"/>
              <w:spacing w:after="0"/>
              <w:rPr>
                <w:sz w:val="20"/>
                <w:szCs w:val="20"/>
                <w:color w:val="auto"/>
              </w:rPr>
            </w:pPr>
            <w:r>
              <w:rPr>
                <w:rFonts w:ascii="Arial" w:cs="Arial" w:eastAsia="Arial" w:hAnsi="Arial"/>
                <w:sz w:val="18"/>
                <w:szCs w:val="18"/>
                <w:color w:val="auto"/>
              </w:rPr>
              <w:t>For the Three Months Ended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007"/>
              <w:spacing w:after="0"/>
              <w:rPr>
                <w:sz w:val="20"/>
                <w:szCs w:val="20"/>
                <w:color w:val="auto"/>
              </w:rPr>
            </w:pPr>
            <w:r>
              <w:rPr>
                <w:rFonts w:ascii="Arial" w:cs="Arial" w:eastAsia="Arial" w:hAnsi="Arial"/>
                <w:sz w:val="18"/>
                <w:szCs w:val="18"/>
                <w:color w:val="auto"/>
              </w:rPr>
              <w:t>March 31,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4"/>
          </w:tcPr>
          <w:p>
            <w:pPr>
              <w:jc w:val="right"/>
              <w:ind w:right="987"/>
              <w:spacing w:after="0"/>
              <w:rPr>
                <w:sz w:val="20"/>
                <w:szCs w:val="20"/>
                <w:color w:val="auto"/>
              </w:rPr>
            </w:pPr>
            <w:r>
              <w:rPr>
                <w:rFonts w:ascii="Arial" w:cs="Arial" w:eastAsia="Arial" w:hAnsi="Arial"/>
                <w:sz w:val="18"/>
                <w:szCs w:val="18"/>
                <w:color w:val="auto"/>
              </w:rPr>
              <w:t>Unaudited</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(3,189)</w:t>
            </w:r>
          </w:p>
        </w:tc>
        <w:tc>
          <w:tcPr>
            <w:tcW w:w="1280" w:type="dxa"/>
            <w:vAlign w:val="bottom"/>
            <w:gridSpan w:val="2"/>
          </w:tcPr>
          <w:p>
            <w:pPr>
              <w:jc w:val="right"/>
              <w:ind w:right="1107"/>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and accrued interest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(446)</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investment</w:t>
            </w: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(3,023)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13,580</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57"/>
        </w:trPr>
        <w:tc>
          <w:tcPr>
            <w:tcW w:w="626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tcBorders>
              <w:top w:val="single" w:sz="8" w:color="CCEEFF"/>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tcBorders>
              <w:top w:val="single" w:sz="8" w:color="CCEEFF"/>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20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107"/>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Right-of-use asset and lease liability</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8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6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three-month period ended March 31, 2022, are not necessarily indicative of the results that may be expected for the year ended December 31, 2022.</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March 31, 2022, the Company had unrestricted cash, cash equivalent and marketable securities balance of approximately $12,470 excluding encumbered cash, which management believes is sufficient to fund its operations for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Due to continuing research and development activities, the Company expects to incur additional losses for the foreseeable future. While management of the Company believes that it has sufficient funds for 12 months, the Company expects to raise additional funds through future issuances of either debt and/or equity securities and possibly grants from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These factors raise substantial doubt as to the Company’s ability to continue as a going concern beyond 12 months. The Company’s interim financial statements do not include any adjustments to reflect the possible future effects on recoverability and classification of assets or the amounts and classification of liabilities that may result from the outcome of this uncertainty.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although lockdowns in many places are being lifted, much of its impact continues to change. As of this filing, it is impossible to predict future effects and potential spread of the coronavirus disease globally. The coronavirus disease may cause significant delays and disruptions to our pre-clinical studies.</w:t>
      </w:r>
    </w:p>
    <w:p>
      <w:pPr>
        <w:spacing w:after="0" w:line="187"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screenings of travelers. As travel restrictions may be implemented and adopted by countries around the world,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its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outbreaks or similar health epidemics are highly uncertain and subject to changes, and the Company cannot presently predict the scope and severity of any potential business shutdowns or disruptions. However, if the Company or any of the third parties with whom the Company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w:t>
      </w:r>
    </w:p>
    <w:p>
      <w:pPr>
        <w:spacing w:after="0" w:line="180" w:lineRule="exact"/>
        <w:rPr>
          <w:sz w:val="20"/>
          <w:szCs w:val="20"/>
          <w:color w:val="auto"/>
        </w:rPr>
      </w:pPr>
    </w:p>
    <w:tbl>
      <w:tblPr>
        <w:tblLayout w:type="fixed"/>
        <w:tblInd w:w="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3"/>
              </w:rPr>
              <w:t>As of March 31, 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6,588</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Other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1,998</w:t>
            </w:r>
          </w:p>
        </w:tc>
        <w:tc>
          <w:tcPr>
            <w:tcW w:w="760" w:type="dxa"/>
            <w:vAlign w:val="bottom"/>
          </w:tcPr>
          <w:p>
            <w:pPr>
              <w:jc w:val="right"/>
              <w:ind w:right="60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As of December 31, 2021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Other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Therefore, the adoption will not have a material effect on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8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For the Three Months Ended</w:t>
      </w:r>
    </w:p>
    <w:p>
      <w:pPr>
        <w:spacing w:after="0" w:line="2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5715</wp:posOffset>
            </wp:positionV>
            <wp:extent cx="20999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15" w:lineRule="exact"/>
        <w:rPr>
          <w:sz w:val="20"/>
          <w:szCs w:val="20"/>
          <w:color w:val="auto"/>
        </w:rPr>
      </w:pPr>
    </w:p>
    <w:p>
      <w:pPr>
        <w:ind w:left="7300"/>
        <w:spacing w:after="0"/>
        <w:tabs>
          <w:tab w:leader="none" w:pos="906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0999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32" w:lineRule="exact"/>
        <w:rPr>
          <w:sz w:val="20"/>
          <w:szCs w:val="20"/>
          <w:color w:val="auto"/>
        </w:rPr>
      </w:pPr>
    </w:p>
    <w:p>
      <w:pPr>
        <w:ind w:left="1140"/>
        <w:spacing w:after="0"/>
        <w:tabs>
          <w:tab w:leader="none" w:pos="6700" w:val="left"/>
          <w:tab w:leader="none" w:pos="8040" w:val="left"/>
          <w:tab w:leader="none" w:pos="8480" w:val="left"/>
          <w:tab w:leader="none" w:pos="9840" w:val="left"/>
        </w:tabs>
        <w:rPr>
          <w:sz w:val="20"/>
          <w:szCs w:val="20"/>
          <w:color w:val="auto"/>
        </w:rPr>
      </w:pPr>
      <w:r>
        <w:rPr>
          <w:rFonts w:ascii="Arial" w:cs="Arial" w:eastAsia="Arial" w:hAnsi="Arial"/>
          <w:sz w:val="18"/>
          <w:szCs w:val="18"/>
          <w:color w:val="auto"/>
        </w:rPr>
        <w:t>Cash payments and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w:t>
        <w:tab/>
        <w:t>$</w:t>
      </w:r>
      <w:r>
        <w:rPr>
          <w:sz w:val="20"/>
          <w:szCs w:val="20"/>
          <w:color w:val="auto"/>
        </w:rPr>
        <w:tab/>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Undiscounted maturities of operating lease payments as of March 31, 2022 are summarized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future lease payments</w:t>
            </w:r>
          </w:p>
        </w:tc>
        <w:tc>
          <w:tcPr>
            <w:tcW w:w="1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774</w:t>
            </w:r>
          </w:p>
        </w:tc>
        <w:tc>
          <w:tcPr>
            <w:tcW w:w="80" w:type="dxa"/>
            <w:vAlign w:val="bottom"/>
            <w:tcBorders>
              <w:top w:val="single" w:sz="8" w:color="CCEEFF"/>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lease liabilities balance</w:t>
            </w:r>
          </w:p>
        </w:tc>
        <w:tc>
          <w:tcPr>
            <w:tcW w:w="10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top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9"/>
              </w:rPr>
              <w:t>2022</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2021</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Operating leases weighted average discount rate</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80" w:type="dxa"/>
            <w:vAlign w:val="bottom"/>
            <w:gridSpan w:val="4"/>
          </w:tcPr>
          <w:p>
            <w:pPr>
              <w:ind w:left="142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Microbot Israel has received grants from the Israeli Innovation Authority (“IIA”) for participation in research and development since 2013 through March 31, 2022 totaling approximately $1,500.</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addition, as a result of the agreement with CardioSert as described below in this Note 4, on January 4, 2018, Microbot Israel Microbot Israel took over the liability to repay CardioSert’s IIA grants in the aggregate amount of approximately $530.</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obligated to pay royalties amounting to 3.0%-3.5% of its future sales.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grants are linked to the exchange rate of the dollar to the New Israeli Shekel and bears interest of Libor per annum.</w:t>
      </w:r>
    </w:p>
    <w:p>
      <w:pPr>
        <w:spacing w:after="0" w:line="22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1.5%-3.0%) and on sublicense income as detailed in the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was required to assign and transfer the Technology to Microbot Israel and Microbot Israel was required to pay to CardioSert additional amounts and securities as determined in the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 40,000 (or approximately US$12.86, based on an exchange rate of NIS 3.176 to the dollar) covering up to 60 consulting hours per month.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par value $0.01 per share,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To date, we have not sold any shares of common stock pursuant to the ATM Agreement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the shares pursuant to the ATM Agreement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 agreement with Stryker</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December 22, 2021, the Company entered into a strategic collaboration agreement for technology co-development with Stryker Corporation, acting through its Neurovascular Division. Pursuant to the agreement, the collaborative development program between the</w:t>
      </w:r>
    </w:p>
    <w:p>
      <w:pPr>
        <w:jc w:val="both"/>
        <w:spacing w:after="0" w:line="209" w:lineRule="auto"/>
        <w:rPr>
          <w:sz w:val="20"/>
          <w:szCs w:val="20"/>
          <w:color w:val="auto"/>
        </w:rPr>
      </w:pPr>
      <w:r>
        <w:rPr>
          <w:rFonts w:ascii="Arial" w:cs="Arial" w:eastAsia="Arial" w:hAnsi="Arial"/>
          <w:sz w:val="18"/>
          <w:szCs w:val="18"/>
          <w:color w:val="auto"/>
        </w:rPr>
        <w:t>Company and Stryker aims to integrate certain of Stryker’s instruments with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to address certain neurovascular procedures.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activities contemplated by the agreement shall be specified in one or more development plans derived from the terms and conditions set forth in the agreement. Each party bears its own costs and expenses in connection with the performance of the agreement and its assigned development activities.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Company and Stryker shall retain its right, title and interest to its existing intellectual property. Jointly developed intellectual property shall be owned by a party, based on the nature of the intellectual property as it relates to each parties’ respective business, and licensed back to the other party pursuant to a worldwide, irrevocable, perpetual, royalty-free, paid-up, nonexclusive, sub-licensable license. Jointly developed intellectual property that is not exclusively pertaining to one party’s business shall be jointly and equally owned by both the Company and Stryker.</w:t>
      </w:r>
    </w:p>
    <w:p>
      <w:pPr>
        <w:spacing w:after="0" w:line="18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1" w:name="page12"/>
    <w:bookmarkEnd w:id="11"/>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3759835</wp:posOffset>
            </wp:positionH>
            <wp:positionV relativeFrom="page">
              <wp:posOffset>423545</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of the agreement continues until the completion of the last development plan agreed upon, unless earlier terminated pursuant to the terms of the agreement. The companies conducted discussions to define the development plan in the first quarter of 2022, and the development activities with Stryker are expected to commence in the second quarter of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Company and Stryker are subject to customary terms regarding non-disclosure of the other’s confidential information, and are further subject to mutual indemnification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the Company breached multiple representations and warranties contained in the SPA, of which the Plaintiffs participated, and fraudulently induced Plaintiffs into signing the SPA.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complaint seeks rescission of the SPA and return of the Plaintiffs’ $6,750 purchase price with respect to the Financing. The Company filed a Motion to Dismiss on March 16, 2020, which was denied by decision and order entered on February 17, 2021. The parties presently are engaged in discovery. At this time no estimation of the potential outcome of the litigation can be made and as such, no allowance was recorded.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 Mona answered the 16(b) claim the Company asserted against him by claiming various equitable defenses, and filed a counterclaim against the Company under Section 10(b) of the Securities Exchange Act of 1934 and Rule 10b-5 promulgated thereunder, claiming a net loss on trading Microbot stock of $151.</w:t>
      </w:r>
    </w:p>
    <w:p>
      <w:pPr>
        <w:spacing w:after="0" w:line="19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On December 18, 2020, the Magistrate Judge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the Company in the amount of $484. In June 2021, Mona filed an amended counterclaim which the Company responded to in July 2021. The parties are currently in discovery.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March 31, 2022 and December 31, 2021, the Company had 7,108,133 shares of common stock issued and outstanding.</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During the three months ended March 31, 2022, the Company granted to Mr. Harel Gadot, the Company’s Chairman of the Board, President and CEO, options to purchase an aggregate of 100,000 shares of the Company’s common stock, at an exercise price per share of $6.48. The stock options vest over a period of 3 years as outlined in the option agreements evidencing such grants.</w:t>
      </w:r>
    </w:p>
    <w:p>
      <w:pPr>
        <w:spacing w:after="0" w:line="1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During the three months ended March 31, 2022, the Company granted to certain employees and consultants and directors, options to purchase an aggregate of 87,500 shares of the Company’s common stock, at an exercise price per share of $6.48. The stock options vest over a period of 3 years as outlined in the option agreements evidencing such grants.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2021.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2021.</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LIBERTY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CardioSert, are comprised of proprietary innovative technologies. Using the ViRob platform, Microbot is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may be designed to streamline cath-lab procedures with our proprietary “One &amp; Done” tool that combines guidewire and microcatheter into a single device. With control over tip curvature and stiffness for maneuverability and access – and without the need for constant tool exchanges –when integrated into the LIBERTY device, the device may drastically reduce procedure time and costs while enhancing the operator experience.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we achieved design freeze of the LIBERTY device.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31, 2022, the Company filed its pre-submission package for the LIBERTY Robotic System with the U.S. Food and Drug Administration (FDA), addressing the regulatory pathway for the LIBERTY Robotic System. The Company expects to meet with the FDA following a normal review process to discuss the pre-submission and ensure the testing protocols and regulatory pathway are aligned with the FDA to obtain clearance for LIBERTY.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our feasibility animal trials with respect to the LIBERTY device.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we achieved electrical and mechanical design freeze for the implant of the SCS. In preparation for the IDE submission to the U.S. Food and Drug Administration for our planned Early Feasibility Study, we have determined that we need further clinical input, and we are seeking collaboration with key opinion leaders and clinical sites in the U.S. to serve as primary investigators to conduct the EFS study. In parallel, we are continuing development of the SCS to the extent feasible without such clinical input.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Technology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8"/>
          <w:szCs w:val="18"/>
          <w:color w:val="auto"/>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Significant Judgments and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2022 and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three-month periods ended March 31, 2022 and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6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3"/>
              </w:rPr>
              <w:t>Three Months Ended March 31,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Change</w:t>
            </w:r>
          </w:p>
        </w:tc>
      </w:tr>
      <w:tr>
        <w:trPr>
          <w:trHeight w:val="216"/>
        </w:trPr>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Microbot’s research and development expenses were approximately $1,706,000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2022, compared to approximately $1,119,000 for the same period in 2021. The increase in research and development expenses for the period presented was primarily due to increases in payroll due to new hires and salary increases, as well as increases relating to professional services and intellectual property with respect to the LIBERTY device. Microbot expects its research and development expenses to continue to increase over time as Microbot advances its development programs and begins pre-clinical and clinical trials for its LIBERTY device and possibly other product candidates.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were approximately $1,470,000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$1,273,000 for the same period in 2021. The increase in general and administrative expenses for the period presented was primarily due to increases in payroll due to new hires and salaries increase offset by decreases in stock-based compensation and professional services. Microbot believes its general and administrative expenses may increase over time as it advances its programs, increases its headcount and incurs expenses associated with being a public company.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Financing Expenses</w:t>
      </w:r>
      <w:r>
        <w:rPr>
          <w:rFonts w:ascii="Arial" w:cs="Arial" w:eastAsia="Arial" w:hAnsi="Arial"/>
          <w:sz w:val="18"/>
          <w:szCs w:val="18"/>
          <w:color w:val="auto"/>
        </w:rPr>
        <w:t>. Financing expenses were approximately $13,000 for the three months ended March 31, 2022, compared to income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$4,000 for the same period in 2021. The increase in financial expenses for the period presented was primarily due to financial expenses related to leasing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incurred losses since inception and negative cash flows from operating activities for all periods presented. As of March 31, 2022, Microbot had a net working capital of approximately $11,077,000, consisting primarily of cash and cash equivalents and marketable securities. This compares to net working capital of approximately $13,895,000 as of December 31, 2021.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March 31, 2022, Microbot has raised net cash proceeds of approximately $54,770,000 and incurred a total cumulative loss of approximately $58,782,000. Microbot returned $3,375,000 (before interest) of such proceeds as a result of an adverse outcome in a litigation that concluded in the first quarter of 2020, and is now subject to an additional lawsuit seeking the return of an additional $6,750,000 of such proceeds. This litigation is in the discovery stage and we cannot project what the eventual outcome will be, though management is vigorously defending its position that no return of capital is warranted.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March 31, 2022 in the total amount of approximately $1,500,000. On January 4, 2018, Microbot Israel entered into an agreement with CardioSert to acquire certain of its patent-protected technology. CardioSert received grants from the IIA in the aggregate amount of approximately $530,000 and Microbot Israel took over the liability to repay such grants.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Israel is obligated to pay royalties amounting to 3%-3.5% of its future sales up to the amount of the grants. The grants are linked to the exchange rate of the dollar to the New Israeli Shekel and bears interest at an annual rate of USD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date, we have not generated revenues from our operations. As of March 31, 2022, we had unrestricted cash, cash equivalents and marketable securities of approximately $12,470,000, excluding encumbered cash. Management believes we have cash sufficient to fund our operations for 12 months from the date of this Quarterly Report on Form 10-Q and, based on current projected burn rate and milestones, sufficient to fund our operations necessary to continue development activities of our current proposed products, which are LIBERTY, SCS (to the extent we are successful in obtaining clinical input) and perhaps other product candidates during the next 12 months. However, in the event there is an unsuccessful outcome in our current litigation with Empery and Hudson Bay during that period, pursuant to which they are seeking the return of $6,750,000 in proceeds we received from them in a 2017 stock offering, we would have funds for less than 12 months. Outcomes with respect to the regulatory process for our proposed products may further require adjustments to our projections. As Microbot does not at this time have funds sufficient to cover operating costs for in excess of the next 12 months, we may be unable to meet our obligations or fully implement our business plan, if at all. As a result of the foregoing and the Company’s current cash position, these conditions raise substantial doubt about Microbot’s ability to continue as a going concern beyond 12 months.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Microbot intends to also raise capital through future issuances of debt and/or equity securities, including its existing $10 million registered At-The-Market offering and other registered offerings under its existing Registration Statement on Form S-3 for up to $75 million of securities, which it may draw down from time to time. These issuances may be opportunistic and even if the Company has enough funds at such time for operations for more than 12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5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265</w:t>
            </w:r>
          </w:p>
        </w:tc>
      </w:tr>
      <w:tr>
        <w:trPr>
          <w:trHeight w:val="25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 cash, cash equivalents and restricted cash</w:t>
            </w:r>
          </w:p>
        </w:tc>
        <w:tc>
          <w:tcPr>
            <w:tcW w:w="15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jc w:val="right"/>
              <w:ind w:right="1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2022 and 2021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flows used in operating activities for the three months ended March 31, 2022 were approximately $(3,007,000) calculated by adjusting net loss from operations by approximately $182,000 to eliminate non-cash and expense items not involving cash flows such as depreciation and share based compensation expense, as well as other changes in current assets and liabilities resulting in non-cash adjustments in the consolidated statements of operations. Cash used in operating activities for the three months ended March 31, 2021 was approximately $(1,994,000) similarly adjusted by approximately $394,000. Increase in net loss used in operations is mainly due to increases in salaries from new hires, subcontractors and materials for R&amp;D projects and patent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Net cash flows used in investing activities for the three months ended March 31, 2022 were approximately $(16,000) compared to income of approximately $265,000 for the three months ended March 31, 2021, which consisted mainly of proceeds from selling an investment in a convertible loan in the amount of $270,000.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March 31, 2022 and December 31, 2021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2022. Based on that review and evaluation, the Chief Executive Officer and Chief Financial Officer, along with the management of the Company, have determined that as of March 31, 2022,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On March 18, 2021, we filed a notice of appeal of the denial of the Motion to Dismiss, which we ultimately did not pursue. The parties presently are engaged in discovery. At this time no estimation of the potential outcome of the litigation can be made, and management is unable to assess the likelihood that we will succeed at trial with respect to the SPA or the Financing, having previously lost another lawsuit with respect to the Financing; however, we believe that differentiating facts could result in a different outcome from the prior lawsuit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Microbot in the amount of $484,614.30. On April 27, 2021, Mona filed an appeal of the court’s judgment, which is pending before the U.S. Court of Appeals for the Second Circuit.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311" w:lineRule="auto"/>
        <w:rPr>
          <w:sz w:val="20"/>
          <w:szCs w:val="20"/>
          <w:color w:val="auto"/>
        </w:rPr>
      </w:pPr>
      <w:r>
        <w:rPr>
          <w:rFonts w:ascii="Arial" w:cs="Arial" w:eastAsia="Arial" w:hAnsi="Arial"/>
          <w:sz w:val="16"/>
          <w:szCs w:val="16"/>
          <w:color w:val="auto"/>
        </w:rPr>
        <w:t>On May 3, 2021, we obtained a writ of execution to enforce the judgment against Mona, given Mona’s failure to post a bond or other security in the full amount of the judgment pending the appeal as required by the Federal Rules of Civil Procedure. On May 7, 2021, Microbot filed a motion to permit the registration of the judgment in districts outside the Southern District of New York in which Mona may have assets available to satisfy the judgment.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the Magistrate issued an order permitting Mona to file an Amended Counterclaim Complaint, and rejected our request to execute on the judgment. We filed a response to Mona’s amended counterclaim on July 21, 2021, and are pursuing a renewed motion to execute on the judgment and dismiss the counterclaim in view of case deficiencies revealed during discovery. The parties are currently in discovery.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doubt on our ability to continue as a 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stated in the notes to our unaudited financial statements for the fiscal quarter ended March 31, 2022, we have cash sufficient to fund our operations for 12 months from the date of this Quarterly Report on Form 10-Q, and we have not generated any revenues, have sustained losses and have accumulated a significant deficit. Our continued existence is dependent upon our ability to continue to execute our operating plan and to obtain additional debt or equity financing.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additional necessary debt or equity financing will be available, or will be available on terms acceptable to us, in which case we may be unable to meet our obligations or fully implement our business plan, if at all, beyond such 12-month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12 months, which could adversely affect our ability to raise capital, expand our business and develop our planned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tcBorders>
              <w:bottom w:val="single" w:sz="8" w:color="0000EE"/>
            </w:tcBorders>
            <w:gridSpan w:val="6"/>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Second Amendment to Employment Agreement with Harel Gadot (incorporated by reference to the Company’s Current Report on Form 8-K</w:t>
              </w:r>
            </w:hyperlink>
          </w:p>
        </w:tc>
      </w:tr>
      <w:tr>
        <w:trPr>
          <w:trHeight w:val="196"/>
        </w:trPr>
        <w:tc>
          <w:tcPr>
            <w:tcW w:w="98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filed on February 1, 2022)</w:t>
              </w:r>
            </w:hyperlink>
          </w:p>
        </w:tc>
        <w:tc>
          <w:tcPr>
            <w:tcW w:w="83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260" w:type="dxa"/>
            <w:vAlign w:val="bottom"/>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Certification of Harel Gadot, Chairman, President and Chief Executive Officer</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Certification of Rachel Vaknin, Chief Financial Officer</w:t>
              </w:r>
            </w:hyperlink>
          </w:p>
        </w:tc>
        <w:tc>
          <w:tcPr>
            <w:tcW w:w="46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Harel Gadot, Chairman, President and Chief Executive Officer, pursuant to 18 U.S.C. Section 1350, as adopted pursuant to</w:t>
              </w:r>
            </w:hyperlink>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906 of the Sarbanes-Oxley Act of 2002</w:t>
              </w:r>
            </w:hyperlink>
          </w:p>
        </w:tc>
        <w:tc>
          <w:tcPr>
            <w:tcW w:w="68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Certification of Rachel Vaknin, Chief Financial Officer, pursuant to 18 U.S.C. Section 1350, as adopted pursuant to Section 906 of the</w:t>
              </w:r>
            </w:hyperlink>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Sarbanes-Oxley Act of 2002</w:t>
              </w:r>
            </w:hyperlink>
          </w:p>
        </w:tc>
        <w:tc>
          <w:tcPr>
            <w:tcW w:w="8200" w:type="dxa"/>
            <w:vAlign w:val="bottom"/>
            <w:gridSpan w:val="4"/>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260" w:type="dxa"/>
            <w:vAlign w:val="bottom"/>
            <w:gridSpan w:val="6"/>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w:t>
            </w:r>
          </w:p>
        </w:tc>
      </w:tr>
    </w:tbl>
    <w:p>
      <w:pPr>
        <w:ind w:left="5540" w:right="3720" w:hanging="5532"/>
        <w:spacing w:after="0" w:line="511" w:lineRule="auto"/>
        <w:tabs>
          <w:tab w:leader="none" w:pos="98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2022.</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Rachel Vaknin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220"/>
        <w:spacing w:after="0" w:line="255"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226"/>
        <w:spacing w:after="0" w:line="250"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220"/>
        <w:spacing w:after="0" w:line="281" w:lineRule="auto"/>
        <w:tabs>
          <w:tab w:leader="none" w:pos="1300" w:val="left"/>
        </w:tabs>
        <w:numPr>
          <w:ilvl w:val="2"/>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226"/>
        <w:spacing w:after="0" w:line="255"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March 31,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16, 2022</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Rachel Vaknin, Chief Financial Officer of Microbot Medical Inc., hereby certify, pursuant to 18 U.S.C. Section 1350, as adopted pursuant to Section 906 of the Sarbanes-Oxley Act of 2002, that to my knowledge, the quarterly report on Form 10-Q for the period ending March 31, 2022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16, 2022</w:t>
      </w:r>
      <w:r>
        <w:rPr>
          <w:sz w:val="20"/>
          <w:szCs w:val="20"/>
          <w:color w:val="auto"/>
        </w:rPr>
        <w:tab/>
      </w:r>
      <w:r>
        <w:rPr>
          <w:rFonts w:ascii="Arial" w:cs="Arial" w:eastAsia="Arial" w:hAnsi="Arial"/>
          <w:sz w:val="16"/>
          <w:szCs w:val="16"/>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Rachel Vaknin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37" Type="http://schemas.openxmlformats.org/officeDocument/2006/relationships/hyperlink" Target="https://www.sec.gov/Archives/edgar/data/883975/00014931522200288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2022-05-16T16:12:15Z</dcterms:created>
  <dcterms:modified xsi:type="dcterms:W3CDTF">2022-05-16T16:12:15Z</dcterms:modified>
</cp:coreProperties>
</file>