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20,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20, 2025, Microbot Medical Inc. (the “Company”) issued a press release announcing that the United States Patent and Trademark Office (“USPTO”) has granted the Company a patent, covering a modular robotic surgical system which includes a base and a plurality of tool-receiver units arranged as separate units and independently and interchangeably attachable to the base (the “Patent”).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USPTO granted the Patent to the Company, which will potentially enable its LIBERTY device to be adapted in the future for a wider range of endovascular procedures, which would increase substantially the Total Addressable Market (TAM) the Company is aiming to penetrate. The Patent expands</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Company’s intellectual property protection in the United States for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portfolio, which now includes 12 patents granted globally and 57 patent applications pending.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Granted U.S. Patent that Significantly Expands Potential Market Applications</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With the Newly Granted IP, the Company’s IP Portfolio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i w:val="1"/>
          <w:iCs w:val="1"/>
          <w:color w:val="auto"/>
        </w:rPr>
        <w:t xml:space="preserve"> System now includes 12 patents granted globally and 57 patent applications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pending.</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Company Continues to Scale Commercial Readiness Plans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i w:val="1"/>
          <w:iCs w:val="1"/>
          <w:color w:val="auto"/>
        </w:rPr>
        <w:t xml:space="preserve"> System as it Awaits FDA Decision.</w:t>
      </w:r>
    </w:p>
    <w:p>
      <w:pPr>
        <w:spacing w:after="0" w:line="1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b w:val="1"/>
          <w:bCs w:val="1"/>
          <w:color w:val="auto"/>
        </w:rPr>
        <w:t xml:space="preserve">HINGHAM, Mass., August 20, 2025 </w:t>
      </w:r>
      <w:r>
        <w:rPr>
          <w:rFonts w:ascii="Times New Roman" w:cs="Times New Roman" w:eastAsia="Times New Roman" w:hAnsi="Times New Roman"/>
          <w:sz w:val="17"/>
          <w:szCs w:val="17"/>
          <w:color w:val="auto"/>
        </w:rPr>
        <w:t>— Microbot Medical Inc. (Nasdaq: MBOT), developer of the innovative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Endovascular Robotic System,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today announced that the United States Patent and Trademark Office (USPTO) has granted the Company a patent, covering a modular robotic surgical system which includes a base and a plurality of tool-receiver units arranged as separate units and independently and interchangeably attachable to the base.</w:t>
      </w:r>
    </w:p>
    <w:p>
      <w:pPr>
        <w:spacing w:after="0" w:line="2"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The Company considers the issuance of this patent to be significant, as it will potentially enable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be adapted in the future for a wider range of endovascular procedures, which would increase substantially the Total Addressable Market (TAM) the Company is aiming to penetrate. This patent</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expands the Company’s intellectual property protection in the United States for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portfolio, which now includes 12 patents granted globally and 57 patent applications pending.</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patent supports innovation and customization for different clinical needs, that would allow the Company to address other indications and significantly increase its potential customer base. The Company now has the flexibility and protection to continue building additional capabilities and features to</w:t>
      </w:r>
    </w:p>
    <w:p>
      <w:pPr>
        <w:jc w:val="both"/>
        <w:spacing w:after="0" w:line="209" w:lineRule="auto"/>
        <w:rPr>
          <w:sz w:val="20"/>
          <w:szCs w:val="20"/>
          <w:color w:val="auto"/>
        </w:rPr>
      </w:pPr>
      <w:r>
        <w:rPr>
          <w:rFonts w:ascii="Times New Roman" w:cs="Times New Roman" w:eastAsia="Times New Roman" w:hAnsi="Times New Roman"/>
          <w:sz w:val="18"/>
          <w:szCs w:val="18"/>
          <w:color w:val="auto"/>
        </w:rPr>
        <w:t>enhance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with the potential to eventually expand well beyond the estimated 2.5 million peripheral endovascular procedures performed in the U.S., annually.</w:t>
      </w:r>
    </w:p>
    <w:p>
      <w:pPr>
        <w:spacing w:after="0" w:line="20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believe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one of the most advanced and distinctive robotic systems in the world, being the first fully disposable robotic system along with other unique features such as its modular capabilities. This patent recognizes yet another layer of our differentiation and could expand our reach to over 6 million annual endovascular procedures in the U.S. alone,” commented Harel Gadot, Chairman, CEO &amp; President. “Our near-term focus remains on the peripheral market and ensuring our commercial readiness plans in the U.S. are progressing as we await the FDA’s decision.”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an investigational device pending FDA 510(k) clearance, and is currently not available for sale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pre-commercial stage medical technology company with a vision to redefine endovascular robotics and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the Company’s need for and ability to obtain additional working capital to continue its transition to a commercially focused company, market conditions, risks inherent in the development and/or commercialization of the LIBERTY Endovascular Robotic System, uncertainty in the results of regulatory pathways and regulatory approvals, including whether the FDA will timely grant 510(k) clearance to commercially market the LIBERTY Endovascular Robotic System in the United States if at all,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 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w:t>
      </w:r>
    </w:p>
    <w:p>
      <w:pPr>
        <w:spacing w:after="0" w:line="10"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 xml:space="preserve">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2025-08-20T07:34:06Z</dcterms:created>
  <dcterms:modified xsi:type="dcterms:W3CDTF">2025-08-20T07:34:06Z</dcterms:modified>
</cp:coreProperties>
</file>