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For the quarter ended: June 30, 2009</w:t>
            </w: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92"/>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Commission File Number: 0-19871</w:t>
            </w: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676"/>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7"/>
          </w:tcPr>
          <w:p>
            <w:pPr>
              <w:jc w:val="center"/>
              <w:spacing w:after="0"/>
              <w:rPr>
                <w:sz w:val="20"/>
                <w:szCs w:val="20"/>
                <w:color w:val="auto"/>
              </w:rPr>
            </w:pPr>
            <w:r>
              <w:rPr>
                <w:rFonts w:ascii="Arial" w:cs="Arial" w:eastAsia="Arial" w:hAnsi="Arial"/>
                <w:sz w:val="43"/>
                <w:szCs w:val="43"/>
                <w:b w:val="1"/>
                <w:bCs w:val="1"/>
                <w:color w:val="auto"/>
              </w:rPr>
              <w:t>STEMCELLS, INC.</w:t>
            </w: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7"/>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00" w:type="dxa"/>
            <w:vAlign w:val="bottom"/>
          </w:tcPr>
          <w:p>
            <w:pPr>
              <w:spacing w:after="0"/>
              <w:rPr>
                <w:sz w:val="22"/>
                <w:szCs w:val="22"/>
                <w:color w:val="auto"/>
              </w:rPr>
            </w:pPr>
          </w:p>
        </w:tc>
      </w:tr>
      <w:tr>
        <w:trPr>
          <w:trHeight w:val="432"/>
        </w:trPr>
        <w:tc>
          <w:tcPr>
            <w:tcW w:w="7880" w:type="dxa"/>
            <w:vAlign w:val="bottom"/>
            <w:gridSpan w:val="9"/>
          </w:tcPr>
          <w:p>
            <w:pPr>
              <w:jc w:val="center"/>
              <w:ind w:right="2460"/>
              <w:spacing w:after="0"/>
              <w:rPr>
                <w:sz w:val="20"/>
                <w:szCs w:val="20"/>
                <w:color w:val="auto"/>
              </w:rPr>
            </w:pPr>
            <w:r>
              <w:rPr>
                <w:rFonts w:ascii="Arial" w:cs="Arial" w:eastAsia="Arial" w:hAnsi="Arial"/>
                <w:sz w:val="18"/>
                <w:szCs w:val="18"/>
                <w:color w:val="auto"/>
                <w:w w:val="96"/>
              </w:rPr>
              <w:t>DELAWARE</w:t>
            </w:r>
          </w:p>
        </w:tc>
        <w:tc>
          <w:tcPr>
            <w:tcW w:w="3540" w:type="dxa"/>
            <w:vAlign w:val="bottom"/>
            <w:gridSpan w:val="2"/>
          </w:tcPr>
          <w:p>
            <w:pPr>
              <w:jc w:val="center"/>
              <w:ind w:right="188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gridSpan w:val="2"/>
          </w:tcPr>
          <w:p>
            <w:pPr>
              <w:jc w:val="center"/>
              <w:ind w:right="1880"/>
              <w:spacing w:after="0"/>
              <w:rPr>
                <w:sz w:val="20"/>
                <w:szCs w:val="20"/>
                <w:color w:val="auto"/>
              </w:rPr>
            </w:pPr>
            <w:r>
              <w:rPr>
                <w:rFonts w:ascii="Arial" w:cs="Arial" w:eastAsia="Arial" w:hAnsi="Arial"/>
                <w:sz w:val="18"/>
                <w:szCs w:val="18"/>
                <w:color w:val="auto"/>
                <w:w w:val="92"/>
              </w:rPr>
              <w:t>(I.R.S. Employer</w:t>
            </w:r>
          </w:p>
        </w:tc>
      </w:tr>
      <w:tr>
        <w:trPr>
          <w:trHeight w:val="230"/>
        </w:trPr>
        <w:tc>
          <w:tcPr>
            <w:tcW w:w="7880" w:type="dxa"/>
            <w:vAlign w:val="bottom"/>
            <w:gridSpan w:val="9"/>
          </w:tcPr>
          <w:p>
            <w:pPr>
              <w:jc w:val="center"/>
              <w:ind w:right="244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gridSpan w:val="2"/>
          </w:tcPr>
          <w:p>
            <w:pPr>
              <w:jc w:val="center"/>
              <w:ind w:right="190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6"/>
          </w:tcPr>
          <w:p>
            <w:pPr>
              <w:jc w:val="center"/>
              <w:ind w:right="280"/>
              <w:spacing w:after="0"/>
              <w:rPr>
                <w:sz w:val="20"/>
                <w:szCs w:val="20"/>
                <w:color w:val="auto"/>
              </w:rPr>
            </w:pPr>
            <w:r>
              <w:rPr>
                <w:rFonts w:ascii="Arial" w:cs="Arial" w:eastAsia="Arial" w:hAnsi="Arial"/>
                <w:sz w:val="18"/>
                <w:szCs w:val="18"/>
                <w:color w:val="auto"/>
                <w:w w:val="93"/>
              </w:rPr>
              <w:t>3155 PORTER DRIVE</w:t>
            </w: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4"/>
              </w:rPr>
              <w:t>PALO ALTO, CA 94304</w:t>
            </w:r>
          </w:p>
        </w:tc>
        <w:tc>
          <w:tcPr>
            <w:tcW w:w="240" w:type="dxa"/>
            <w:vAlign w:val="bottom"/>
            <w:tcBorders>
              <w:bottom w:val="single" w:sz="8" w:color="auto"/>
            </w:tcBorders>
          </w:tcPr>
          <w:p>
            <w:pPr>
              <w:spacing w:after="0"/>
              <w:rPr>
                <w:sz w:val="20"/>
                <w:szCs w:val="20"/>
                <w:color w:val="auto"/>
              </w:rPr>
            </w:pPr>
          </w:p>
        </w:tc>
        <w:tc>
          <w:tcPr>
            <w:tcW w:w="3300" w:type="dxa"/>
            <w:vAlign w:val="bottom"/>
          </w:tcPr>
          <w:p>
            <w:pPr>
              <w:spacing w:after="0"/>
              <w:rPr>
                <w:sz w:val="20"/>
                <w:szCs w:val="20"/>
                <w:color w:val="auto"/>
              </w:rPr>
            </w:pPr>
          </w:p>
        </w:tc>
      </w:tr>
      <w:tr>
        <w:trPr>
          <w:trHeight w:val="277"/>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6460" w:type="dxa"/>
            <w:vAlign w:val="bottom"/>
            <w:gridSpan w:val="6"/>
          </w:tcPr>
          <w:p>
            <w:pPr>
              <w:jc w:val="center"/>
              <w:ind w:left="4890"/>
              <w:spacing w:after="0"/>
              <w:rPr>
                <w:sz w:val="20"/>
                <w:szCs w:val="20"/>
                <w:color w:val="auto"/>
              </w:rPr>
            </w:pPr>
            <w:r>
              <w:rPr>
                <w:rFonts w:ascii="Arial" w:cs="Arial" w:eastAsia="Arial" w:hAnsi="Arial"/>
                <w:sz w:val="18"/>
                <w:szCs w:val="18"/>
                <w:color w:val="auto"/>
                <w:w w:val="90"/>
              </w:rPr>
              <w:t>(650) 475-3100</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7"/>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94"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ind w:right="2100" w:firstLine="225"/>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At August 3, 2009, there were 108,228,537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560" w:type="dxa"/>
            <w:vAlign w:val="bottom"/>
            <w:gridSpan w:val="10"/>
            <w:vMerge w:val="restart"/>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560" w:type="dxa"/>
            <w:vAlign w:val="bottom"/>
            <w:gridSpan w:val="10"/>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2009 and December 31, 2008</w:t>
              </w:r>
            </w:hyperlink>
          </w:p>
        </w:tc>
        <w:tc>
          <w:tcPr>
            <w:tcW w:w="4320" w:type="dxa"/>
            <w:vAlign w:val="bottom"/>
            <w:gridSpan w:val="4"/>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2009 and 2008</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4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June 30, 2009 and 2008</w:t>
              </w:r>
            </w:hyperlink>
          </w:p>
        </w:tc>
        <w:tc>
          <w:tcPr>
            <w:tcW w:w="2300" w:type="dxa"/>
            <w:vAlign w:val="bottom"/>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960" w:type="dxa"/>
            <w:vAlign w:val="bottom"/>
            <w:gridSpan w:val="2"/>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440" w:type="dxa"/>
            <w:vAlign w:val="bottom"/>
            <w:gridSpan w:val="3"/>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4. Controls and Procedures</w:t>
              </w:r>
            </w:hyperlink>
          </w:p>
        </w:tc>
        <w:tc>
          <w:tcPr>
            <w:tcW w:w="8120" w:type="dxa"/>
            <w:vAlign w:val="bottom"/>
            <w:gridSpan w:val="13"/>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880" w:type="dxa"/>
            <w:vAlign w:val="bottom"/>
            <w:gridSpan w:val="12"/>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1A. Risk Factors</w:t>
              </w:r>
            </w:hyperlink>
          </w:p>
        </w:tc>
        <w:tc>
          <w:tcPr>
            <w:tcW w:w="8860" w:type="dxa"/>
            <w:vAlign w:val="bottom"/>
            <w:gridSpan w:val="16"/>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5540" w:type="dxa"/>
            <w:vAlign w:val="bottom"/>
            <w:gridSpan w:val="6"/>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Submission of Matters to a Vote of Security-Holders</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8"/>
          </w:tcPr>
          <w:p>
            <w:pPr>
              <w:spacing w:after="0"/>
              <w:rPr>
                <w:sz w:val="17"/>
                <w:szCs w:val="17"/>
                <w:color w:val="auto"/>
              </w:rPr>
            </w:pPr>
          </w:p>
        </w:tc>
        <w:tc>
          <w:tcPr>
            <w:tcW w:w="6120" w:type="dxa"/>
            <w:vAlign w:val="bottom"/>
            <w:gridSpan w:val="7"/>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SIGNATURES</w:t>
              </w:r>
            </w:hyperlink>
          </w:p>
        </w:tc>
        <w:tc>
          <w:tcPr>
            <w:tcW w:w="40" w:type="dxa"/>
            <w:vAlign w:val="bottom"/>
            <w:tcBorders>
              <w:top w:val="single" w:sz="8" w:color="0000EE"/>
            </w:tcBorders>
          </w:tcPr>
          <w:p>
            <w:pPr>
              <w:spacing w:after="0"/>
              <w:rPr>
                <w:sz w:val="17"/>
                <w:szCs w:val="17"/>
                <w:color w:val="auto"/>
              </w:rPr>
            </w:pPr>
          </w:p>
        </w:tc>
        <w:tc>
          <w:tcPr>
            <w:tcW w:w="9300" w:type="dxa"/>
            <w:vAlign w:val="bottom"/>
            <w:gridSpan w:val="17"/>
          </w:tcPr>
          <w:p>
            <w:pPr>
              <w:spacing w:after="0"/>
              <w:rPr>
                <w:sz w:val="17"/>
                <w:szCs w:val="17"/>
                <w:color w:val="auto"/>
              </w:rPr>
            </w:pPr>
          </w:p>
        </w:tc>
        <w:tc>
          <w:tcPr>
            <w:tcW w:w="9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3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3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3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US AND OUR COMMON STOCK</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Throughout this Form 10-Q, the words “we,” “us,” “our,” and “StemCells” refer to StemCells, Inc., including our directly and indirectly wholly-owned subsidiaries. “Common stock” refers to the common stock, $.01 par value, of StemCells, Inc.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June 30, 2009</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2008</w:t>
            </w:r>
          </w:p>
        </w:tc>
      </w:tr>
      <w:tr>
        <w:trPr>
          <w:trHeight w:val="210"/>
        </w:trPr>
        <w:tc>
          <w:tcPr>
            <w:tcW w:w="8440" w:type="dxa"/>
            <w:vAlign w:val="bottom"/>
            <w:shd w:val="clear" w:color="auto" w:fill="CCEEFF"/>
          </w:tcPr>
          <w:p>
            <w:pPr>
              <w:ind w:left="364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36,760,470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30,042,986</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200,468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4,181,592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207,093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164,204</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298,032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645,242</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38,059,307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35,332,056</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3,293,803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3,173,468</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Other assets,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2,095,349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2,079,278</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5,623,709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645,538</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49,072,168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1,078,123</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2,628,507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2,261,245</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wind-down expenses,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1,748,264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1,420,378</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270,851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43,909</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74,632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18,739</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Deferred rent,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346,930</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payable,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149,167</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6,163,335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5,318,491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117,296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Bond payable,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860,000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11,092,862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8,439,931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458,032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466,211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4,092,939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90,215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147,039</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22,424,421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19,421,355</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Common stock, $.01 par value; 250,000,000 shares authorized; issued and outstanding 106,650,985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June 30, 2009 and 94,945,603 at December 31, 2008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1,066,509</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949,455</w:t>
            </w:r>
          </w:p>
        </w:tc>
      </w:tr>
      <w:tr>
        <w:trPr>
          <w:trHeight w:val="216"/>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301,330,299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279,868,802</w:t>
            </w: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(275,649,435)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(259,001,524)</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(99,626)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(7,748)</w:t>
            </w:r>
          </w:p>
        </w:tc>
      </w:tr>
      <w:tr>
        <w:trPr>
          <w:trHeight w:val="216"/>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26,647,747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21,808,985</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49,072,168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Revenue from licensing agreements and grants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144,851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29,832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201,453</w:t>
            </w:r>
          </w:p>
        </w:tc>
        <w:tc>
          <w:tcPr>
            <w:tcW w:w="5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product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120,600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265,451</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29,832</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322,053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(59,525)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(59,525)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205,926</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29,832</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262,528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5,054,600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4,415,615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9,290,389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8,915,366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2,201,974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2,345,846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4,740,886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340,064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167,250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545,500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7,596,638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6,928,711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w w:val="99"/>
              </w:rPr>
              <w:t>14,576,775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13,842,915</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(7,390,712)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(6,898,879)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(14,314,247)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(13,795,733)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397,866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102,517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(2,652,931)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8,338</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216,109</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Arial" w:cs="Arial" w:eastAsia="Arial" w:hAnsi="Arial"/>
                <w:sz w:val="18"/>
                <w:szCs w:val="18"/>
                <w:color w:val="auto"/>
              </w:rPr>
              <w:t>50,285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(28,970)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(57,250)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(57,424)</w:t>
            </w: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8"/>
                <w:szCs w:val="18"/>
                <w:color w:val="auto"/>
              </w:rPr>
            </w:pPr>
          </w:p>
        </w:tc>
        <w:tc>
          <w:tcPr>
            <w:tcW w:w="1480" w:type="dxa"/>
            <w:vAlign w:val="bottom"/>
            <w:gridSpan w:val="2"/>
          </w:tcPr>
          <w:p>
            <w:pPr>
              <w:jc w:val="right"/>
              <w:ind w:right="424"/>
              <w:spacing w:after="0"/>
              <w:rPr>
                <w:sz w:val="20"/>
                <w:szCs w:val="20"/>
                <w:color w:val="auto"/>
              </w:rPr>
            </w:pPr>
            <w:r>
              <w:rPr>
                <w:rFonts w:ascii="Arial" w:cs="Arial" w:eastAsia="Arial" w:hAnsi="Arial"/>
                <w:sz w:val="18"/>
                <w:szCs w:val="18"/>
                <w:color w:val="auto"/>
              </w:rPr>
              <w:t>(71,634)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183,403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(2,333,664)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535,268</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(7,366,355</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(6,715,476</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(16,647,911</w:t>
            </w:r>
          </w:p>
        </w:tc>
        <w:tc>
          <w:tcPr>
            <w:tcW w:w="560" w:type="dxa"/>
            <w:vAlign w:val="bottom"/>
          </w:tcPr>
          <w:p>
            <w:pPr>
              <w:jc w:val="right"/>
              <w:ind w:right="424"/>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(13,260,465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(0.17)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104,776,073</w:t>
            </w:r>
          </w:p>
        </w:tc>
        <w:tc>
          <w:tcPr>
            <w:tcW w:w="1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80,814,838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100,436,291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80,759,400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Six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(16,647,911)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(13,260,465)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754,863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602,239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2,038,757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2,041,545</w:t>
            </w: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(397,868)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2,652,931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467,987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142,377</w:t>
            </w: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Prepaid assets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(199,428)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199,247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(41,816)</w:t>
            </w: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(551,038)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(1,348,622)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(200,406)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(394,233)</w:t>
            </w: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(118,140)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(28,725)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(137,818)</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(12,382,824)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(12,226,271)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4,512,750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20,265,211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(payment) of advances under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(379,732)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(255,020)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4,038,189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21,010,191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14,987,348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175,992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123,253</w:t>
            </w: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331,501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net share issuance of stock based awards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(380,548)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(repayment of)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166,659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(8,619)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bonds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(65,000)</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15,208,452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6,863,817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8,833,554</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Effects of foreign exchange rate changes on cash</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(146,333)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30,042,986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9,759,169</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36,760,470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18,592,723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57,250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57,161</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issued as part of our acquisition of the operations of SCS Plc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4,425,500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principal and accrued interest on notes receivable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709,076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1, 2009, we acquired the operations of Stem Cell Sciences Plc (SCS). As consideration, we issued to SCS 2,650,000 shares of common stock with a closing price of $1.67 per share and waived certain commitments of SCS to repay approximately $709,000 in principal and accrued interest owed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development and commercialization of cell-based technologies.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financial data as of and for the three and six months ended June 30, 2009 and 2008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2008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2008. Subsequent events have been evaluated through August 7, 2009, which represents the issuance date of these unaudited condensed consolidated financial statements.</w:t>
      </w:r>
    </w:p>
    <w:p>
      <w:pPr>
        <w:spacing w:after="0" w:line="58"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incurred significant operating losses since inception. 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investigative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condensed consolidated financial statements include the accounts of StemCells, Inc., and our wholly-owned subsidiaries, StemCells California, Inc., StemCells Property Holding LLC, Stem Cell Sciences Holdings Ltd; Stem Cell Sciences (UK) Ltd; and Stem Cell Sciences (Australia) Pty Ltd.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these estimates.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660" w:right="340" w:hanging="436"/>
        <w:spacing w:after="0" w:line="34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grant date fair value of stock-based awards recognized as compensation expense in accordance with the provisions of Statement of Financial Accounting Standards (SFAS)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(SFAS 123R) (see Note 4, “Stock Based Compensation”);</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5, “Wind-Down Expenses”);</w:t>
      </w:r>
    </w:p>
    <w:p>
      <w:pPr>
        <w:spacing w:after="0" w:line="130" w:lineRule="exact"/>
        <w:rPr>
          <w:rFonts w:ascii="Arial" w:cs="Arial" w:eastAsia="Arial" w:hAnsi="Arial"/>
          <w:sz w:val="18"/>
          <w:szCs w:val="18"/>
          <w:b w:val="1"/>
          <w:bCs w:val="1"/>
          <w:color w:val="auto"/>
        </w:rPr>
      </w:pPr>
    </w:p>
    <w:p>
      <w:pPr>
        <w:ind w:left="660" w:right="14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the fair value of warrants recorded as a liability in accordance with Emerging Issues Task Force (EITF) Issue No. 00-19,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Indexed to and Potentially Settled in a Company’s Own Stock </w:t>
      </w:r>
      <w:r>
        <w:rPr>
          <w:rFonts w:ascii="Arial" w:cs="Arial" w:eastAsia="Arial" w:hAnsi="Arial"/>
          <w:sz w:val="18"/>
          <w:szCs w:val="18"/>
          <w:color w:val="auto"/>
        </w:rPr>
        <w:t>(EITF 00-19). These warrants were issued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2008 financing (see Note 7, “Warrant Liability”);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fair value of goodwill and other intangible assets (see Note 9, “Acquisition of SCS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money market accounts and investments with a maturity of 90 days or less from the date of purchase to be cash equivalents.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Our existing marketable debt and equity securities are designated as available-for-sale securities. These securities are carried at fair value (see Note 2, “Financial Instruments”), with the unrealized gains and losses reported as a component of stockholders’ equity. The balance sheet classification of our marketable debt securities as current or non-current is based on their maturity dates. Investments with remaining maturities of 365 days or less not classified as cash equivalents are classified as “Marketable securities, current.” Investments with remaining maturities greater than 365 days are classified as “Marketable securities, non-current.” Management determines the appropriate designation of its investments in marketable debt and equity securities at the time of purchase and reevaluates such designation as of each balance sheet date. The cost of securities sold is based upon the specific identification method.</w:t>
      </w:r>
    </w:p>
    <w:p>
      <w:pPr>
        <w:spacing w:after="0" w:line="5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six months ended June 30, 2009 or 2008.</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receivables generally consist of interest income on our financial instruments, revenue from licensing agreements and grants, revenue from product sales, and rent from our sub-lease tenants.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 Revenue from product sales are recognized when the product is shipped and the order fulfilled.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account for stock-based payment awards to employees in accordance with SFAS 123R. The compensation expense we record for these awards is based on their grant date fair value as calculated and amortized over their vesting period. See Note 4, “Stock-Based Compensation” for further information.</w:t>
      </w:r>
    </w:p>
    <w:p>
      <w:pPr>
        <w:spacing w:after="0" w:line="16"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 xml:space="preserve">We account for stock-based awards granted to non-employees in accordance with SFAS 123 and EITF 96-18, </w:t>
      </w:r>
      <w:r>
        <w:rPr>
          <w:rFonts w:ascii="Arial" w:cs="Arial" w:eastAsia="Arial" w:hAnsi="Arial"/>
          <w:sz w:val="17"/>
          <w:szCs w:val="17"/>
          <w:i w:val="1"/>
          <w:iCs w:val="1"/>
          <w:color w:val="auto"/>
        </w:rPr>
        <w:t>Accounting For Equity Instruments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Other Than Employees For Acquiring, Or In Conjunction With Selling, Goods Or Services</w:t>
      </w:r>
      <w:r>
        <w:rPr>
          <w:rFonts w:ascii="Arial" w:cs="Arial" w:eastAsia="Arial" w:hAnsi="Arial"/>
          <w:sz w:val="17"/>
          <w:szCs w:val="17"/>
          <w:color w:val="auto"/>
        </w:rPr>
        <w:t>, and accordingly, expense the estimated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options. The estimated fair value is re-measured at each reporting date and is amortized over the remaining vesting period.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use the Black-Scholes-Merton (Black-Scholes) model to calculate the fair value of stock-based awards.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(7,366,355)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(6,715,476)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2"/>
              </w:rPr>
              <w:t>(16,647,911)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(13,260,465)</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used to compute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tcPr>
          <w:p>
            <w:pPr>
              <w:spacing w:after="0"/>
              <w:rPr>
                <w:sz w:val="20"/>
                <w:szCs w:val="20"/>
                <w:color w:val="auto"/>
              </w:rPr>
            </w:pPr>
          </w:p>
        </w:tc>
        <w:tc>
          <w:tcPr>
            <w:tcW w:w="1160" w:type="dxa"/>
            <w:vAlign w:val="bottom"/>
          </w:tcPr>
          <w:p>
            <w:pPr>
              <w:jc w:val="right"/>
              <w:ind w:right="177"/>
              <w:spacing w:after="0"/>
              <w:rPr>
                <w:sz w:val="20"/>
                <w:szCs w:val="20"/>
                <w:color w:val="auto"/>
              </w:rPr>
            </w:pPr>
            <w:r>
              <w:rPr>
                <w:rFonts w:ascii="Arial" w:cs="Arial" w:eastAsia="Arial" w:hAnsi="Arial"/>
                <w:sz w:val="18"/>
                <w:szCs w:val="18"/>
                <w:color w:val="auto"/>
                <w:w w:val="87"/>
              </w:rPr>
              <w:t>104,776,073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80,814,838</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77"/>
              <w:spacing w:after="0"/>
              <w:rPr>
                <w:sz w:val="20"/>
                <w:szCs w:val="20"/>
                <w:color w:val="auto"/>
              </w:rPr>
            </w:pPr>
            <w:r>
              <w:rPr>
                <w:rFonts w:ascii="Arial" w:cs="Arial" w:eastAsia="Arial" w:hAnsi="Arial"/>
                <w:sz w:val="18"/>
                <w:szCs w:val="18"/>
                <w:color w:val="auto"/>
                <w:w w:val="87"/>
              </w:rPr>
              <w:t>100,436,291</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80,759,400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(0.16)</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June 30: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9,380,197</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8,629,392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2,303,068</w:t>
            </w:r>
          </w:p>
        </w:tc>
        <w:tc>
          <w:tcPr>
            <w:tcW w:w="280" w:type="dxa"/>
            <w:vAlign w:val="bottom"/>
          </w:tcPr>
          <w:p>
            <w:pPr>
              <w:spacing w:after="0"/>
              <w:rPr>
                <w:sz w:val="18"/>
                <w:szCs w:val="18"/>
                <w:color w:val="auto"/>
              </w:rPr>
            </w:pPr>
          </w:p>
        </w:tc>
        <w:tc>
          <w:tcPr>
            <w:tcW w:w="1940" w:type="dxa"/>
            <w:vAlign w:val="bottom"/>
            <w:gridSpan w:val="4"/>
          </w:tcPr>
          <w:p>
            <w:pPr>
              <w:jc w:val="right"/>
              <w:ind w:right="320"/>
              <w:spacing w:after="0"/>
              <w:rPr>
                <w:sz w:val="20"/>
                <w:szCs w:val="20"/>
                <w:color w:val="auto"/>
              </w:rPr>
            </w:pPr>
            <w:r>
              <w:rPr>
                <w:rFonts w:ascii="Arial" w:cs="Arial" w:eastAsia="Arial" w:hAnsi="Arial"/>
                <w:sz w:val="18"/>
                <w:szCs w:val="18"/>
                <w:color w:val="auto"/>
              </w:rPr>
              <w:t>1,650,000</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10,344,828</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1,255,000</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22,028,093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11,534,392</w:t>
            </w:r>
          </w:p>
        </w:tc>
        <w:tc>
          <w:tcPr>
            <w:tcW w:w="3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Comprehensive loss is comprised of net losses and other comprehensive loss or income (OCL). OCL includes certain changes in stockholders’ equity that are excluded from net losses. Specifically, we include in OCL changes in unrealized gains and losses on our marketable securities and unrealized gains and losses on foreign currency translations. Accumulated other comprehensive loss was $99,626 as of June 30, 2009 and $7,748 as of December 31, 2008.</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in OCL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w w:val="85"/>
              </w:rPr>
              <w:t>$ (7,366,355)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(6,715,476)</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(16,647,911)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(13,260,465)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unrealized gains and losses on marketable securities</w:t>
            </w:r>
          </w:p>
        </w:tc>
        <w:tc>
          <w:tcPr>
            <w:tcW w:w="1500" w:type="dxa"/>
            <w:vAlign w:val="bottom"/>
            <w:gridSpan w:val="4"/>
          </w:tcPr>
          <w:p>
            <w:pPr>
              <w:jc w:val="right"/>
              <w:ind w:right="620"/>
              <w:spacing w:after="0"/>
              <w:rPr>
                <w:sz w:val="20"/>
                <w:szCs w:val="20"/>
                <w:color w:val="auto"/>
              </w:rPr>
            </w:pPr>
            <w:r>
              <w:rPr>
                <w:rFonts w:ascii="Arial" w:cs="Arial" w:eastAsia="Arial" w:hAnsi="Arial"/>
                <w:sz w:val="18"/>
                <w:szCs w:val="18"/>
                <w:color w:val="auto"/>
              </w:rPr>
              <w:t>83,279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(557,071)</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133,760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(1,419,565)</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gains and losses on foreign currency</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(225,638)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(225,638)</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(7,508,714</w:t>
            </w:r>
          </w:p>
        </w:tc>
        <w:tc>
          <w:tcPr>
            <w:tcW w:w="620" w:type="dxa"/>
            <w:vAlign w:val="bottom"/>
            <w:gridSpan w:val="2"/>
          </w:tcPr>
          <w:p>
            <w:pPr>
              <w:jc w:val="right"/>
              <w:ind w:right="5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(7,272,547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(16,739,789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(14,680,030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June 2009, the Financial Accounting Standards Board (FASB) issued SFAS No. 168 </w:t>
      </w:r>
      <w:r>
        <w:rPr>
          <w:rFonts w:ascii="Arial" w:cs="Arial" w:eastAsia="Arial" w:hAnsi="Arial"/>
          <w:sz w:val="18"/>
          <w:szCs w:val="18"/>
          <w:i w:val="1"/>
          <w:iCs w:val="1"/>
          <w:color w:val="auto"/>
        </w:rPr>
        <w:t>The FASB Accounting Standards Codification and the Hierarchy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Generally Accepted Accounting Principles — a replacement of FASB Statement No. 162 </w:t>
      </w:r>
      <w:r>
        <w:rPr>
          <w:rFonts w:ascii="Arial" w:cs="Arial" w:eastAsia="Arial" w:hAnsi="Arial"/>
          <w:sz w:val="18"/>
          <w:szCs w:val="18"/>
          <w:color w:val="auto"/>
        </w:rPr>
        <w:t>(SFAS 168</w:t>
      </w:r>
      <w:r>
        <w:rPr>
          <w:rFonts w:ascii="Arial" w:cs="Arial" w:eastAsia="Arial" w:hAnsi="Arial"/>
          <w:sz w:val="18"/>
          <w:szCs w:val="18"/>
          <w:i w:val="1"/>
          <w:iCs w:val="1"/>
          <w:color w:val="auto"/>
        </w:rPr>
        <w:t>)</w:t>
      </w:r>
      <w:r>
        <w:rPr>
          <w:rFonts w:ascii="Arial" w:cs="Arial" w:eastAsia="Arial" w:hAnsi="Arial"/>
          <w:sz w:val="18"/>
          <w:szCs w:val="18"/>
          <w:color w:val="auto"/>
        </w:rPr>
        <w:t>. SFAS 168 establishes the FASB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Codification as the source of authoritative accounting principles recognized by the FASB to be applied by non-governmental entities in the preparation of financial statements in conformity with GAAP in the United States. SFAS 168 is effective for financial statements issued for interim and annual periods ending after September 15, 2009.</w:t>
      </w:r>
    </w:p>
    <w:p>
      <w:pPr>
        <w:spacing w:after="0" w:line="8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In May 2009, the FASB issued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165). SFAS 165 establish principles and requirements for subsequent events. It incorporates the accounting and disclosure requirements for subsequent events into GAAP in the United States. It defines a date through which management must evaluate subsequent events and lists the circumstances under which an entity must recognize and disclose events or transactions occurring after the balance sheet date but before financial statements are issued or are available to be issued. SFAS 165 is effective for interim or annual financial periods ending after June 15, 2009. The adoption of this accounting standard will not have a material impact on our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April 2009, the FASB issued the following new accounting standards:</w:t>
      </w:r>
    </w:p>
    <w:p>
      <w:pPr>
        <w:spacing w:after="0" w:line="117" w:lineRule="exact"/>
        <w:rPr>
          <w:sz w:val="20"/>
          <w:szCs w:val="20"/>
          <w:color w:val="auto"/>
        </w:rPr>
      </w:pPr>
    </w:p>
    <w:p>
      <w:pPr>
        <w:ind w:left="660" w:right="40" w:hanging="436"/>
        <w:spacing w:after="0" w:line="27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107-1 (FSP 107-1) and Accounting Principles Board (APB) Opinion No. 28-1 (APB 28-1), </w:t>
      </w:r>
      <w:r>
        <w:rPr>
          <w:rFonts w:ascii="Arial" w:cs="Arial" w:eastAsia="Arial" w:hAnsi="Arial"/>
          <w:sz w:val="17"/>
          <w:szCs w:val="17"/>
          <w:i w:val="1"/>
          <w:iCs w:val="1"/>
          <w:color w:val="auto"/>
        </w:rPr>
        <w:t>Interim Disclosures about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of Financial Instruments, </w:t>
      </w:r>
      <w:r>
        <w:rPr>
          <w:rFonts w:ascii="Arial" w:cs="Arial" w:eastAsia="Arial" w:hAnsi="Arial"/>
          <w:sz w:val="17"/>
          <w:szCs w:val="17"/>
          <w:color w:val="auto"/>
        </w:rPr>
        <w:t>which amends FASB Statement No. 107,</w:t>
      </w:r>
      <w:r>
        <w:rPr>
          <w:rFonts w:ascii="Arial" w:cs="Arial" w:eastAsia="Arial" w:hAnsi="Arial"/>
          <w:sz w:val="17"/>
          <w:szCs w:val="17"/>
          <w:i w:val="1"/>
          <w:iCs w:val="1"/>
          <w:color w:val="auto"/>
        </w:rPr>
        <w:t xml:space="preserve"> Disclosures about Fair Value of Financial Instruments </w:t>
      </w:r>
      <w:r>
        <w:rPr>
          <w:rFonts w:ascii="Arial" w:cs="Arial" w:eastAsia="Arial" w:hAnsi="Arial"/>
          <w:sz w:val="17"/>
          <w:szCs w:val="17"/>
          <w:color w:val="auto"/>
        </w:rPr>
        <w:t>(SFAS 107)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APB Opinion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xml:space="preserve"> (APB 28)</w:t>
      </w:r>
      <w:r>
        <w:rPr>
          <w:rFonts w:ascii="Arial" w:cs="Arial" w:eastAsia="Arial" w:hAnsi="Arial"/>
          <w:sz w:val="17"/>
          <w:szCs w:val="17"/>
          <w:i w:val="1"/>
          <w:iCs w:val="1"/>
          <w:color w:val="auto"/>
        </w:rPr>
        <w:t>,</w:t>
      </w:r>
      <w:r>
        <w:rPr>
          <w:rFonts w:ascii="Arial" w:cs="Arial" w:eastAsia="Arial" w:hAnsi="Arial"/>
          <w:sz w:val="17"/>
          <w:szCs w:val="17"/>
          <w:color w:val="auto"/>
        </w:rPr>
        <w:t xml:space="preserve"> to require disclosures about the fair value of financial instruments for interim and in annual financial statements. FSP 107-1 and APB 28-1 will be effective for interim reporting periods ending after June 15, 2009. The adoption of this accounting standard did not have a material impact on our consolidated financial statements.</w:t>
      </w:r>
    </w:p>
    <w:p>
      <w:pPr>
        <w:spacing w:after="0" w:line="77" w:lineRule="exact"/>
        <w:rPr>
          <w:rFonts w:ascii="Arial" w:cs="Arial" w:eastAsia="Arial" w:hAnsi="Arial"/>
          <w:sz w:val="17"/>
          <w:szCs w:val="17"/>
          <w:b w:val="1"/>
          <w:bCs w:val="1"/>
          <w:color w:val="auto"/>
        </w:rPr>
      </w:pPr>
    </w:p>
    <w:p>
      <w:pPr>
        <w:ind w:left="660" w:right="280" w:hanging="436"/>
        <w:spacing w:after="0" w:line="27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FAS 157-4, </w:t>
      </w:r>
      <w:r>
        <w:rPr>
          <w:rFonts w:ascii="Arial" w:cs="Arial" w:eastAsia="Arial" w:hAnsi="Arial"/>
          <w:sz w:val="17"/>
          <w:szCs w:val="17"/>
          <w:i w:val="1"/>
          <w:iCs w:val="1"/>
          <w:color w:val="auto"/>
        </w:rPr>
        <w:t>Determining Fair Value When the Volume and Level of Activity for the Asset or Liability Have Significantly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Decreased and Identifying Transactions That Are Not Orderly </w:t>
      </w:r>
      <w:r>
        <w:rPr>
          <w:rFonts w:ascii="Arial" w:cs="Arial" w:eastAsia="Arial" w:hAnsi="Arial"/>
          <w:sz w:val="17"/>
          <w:szCs w:val="17"/>
          <w:color w:val="auto"/>
        </w:rPr>
        <w:t>(FSP 157-4). FSP 157-4 provides additional guidance for estimating fair value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SFAS No. 157, </w:t>
      </w:r>
      <w:r>
        <w:rPr>
          <w:rFonts w:ascii="Arial" w:cs="Arial" w:eastAsia="Arial" w:hAnsi="Arial"/>
          <w:sz w:val="17"/>
          <w:szCs w:val="17"/>
          <w:i w:val="1"/>
          <w:iCs w:val="1"/>
          <w:color w:val="auto"/>
        </w:rPr>
        <w:t>Fair Value Measurements, w</w:t>
      </w:r>
      <w:r>
        <w:rPr>
          <w:rFonts w:ascii="Arial" w:cs="Arial" w:eastAsia="Arial" w:hAnsi="Arial"/>
          <w:sz w:val="17"/>
          <w:szCs w:val="17"/>
          <w:color w:val="auto"/>
        </w:rPr>
        <w:t>hen the volume and level of activity for the asset or liability have significantly decreased. FSP 157-4 will be applied prospectively and will be effective for interim and annual reporting periods ending after June 15, 2009. The adoption of FSP 157-4 did not have a material impact on our consolidated financial statements.</w:t>
      </w:r>
    </w:p>
    <w:p>
      <w:pPr>
        <w:spacing w:after="0" w:line="77" w:lineRule="exact"/>
        <w:rPr>
          <w:rFonts w:ascii="Arial" w:cs="Arial" w:eastAsia="Arial" w:hAnsi="Arial"/>
          <w:sz w:val="17"/>
          <w:szCs w:val="17"/>
          <w:b w:val="1"/>
          <w:bCs w:val="1"/>
          <w:color w:val="auto"/>
        </w:rPr>
      </w:pPr>
    </w:p>
    <w:p>
      <w:pPr>
        <w:ind w:left="660" w:right="38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115-2, (FSP 115-2) and FASB Staff Position No. 124-2 (FSP124-2), </w:t>
      </w:r>
      <w:r>
        <w:rPr>
          <w:rFonts w:ascii="Arial" w:cs="Arial" w:eastAsia="Arial" w:hAnsi="Arial"/>
          <w:sz w:val="18"/>
          <w:szCs w:val="18"/>
          <w:i w:val="1"/>
          <w:iCs w:val="1"/>
          <w:color w:val="auto"/>
        </w:rPr>
        <w:t xml:space="preserve">Recognition and Presentation of Other-Than-Temporary Impairments, </w:t>
      </w:r>
      <w:r>
        <w:rPr>
          <w:rFonts w:ascii="Arial" w:cs="Arial" w:eastAsia="Arial" w:hAnsi="Arial"/>
          <w:sz w:val="18"/>
          <w:szCs w:val="18"/>
          <w:color w:val="auto"/>
        </w:rPr>
        <w:t>which amends the other-than-temporary impairment guidance for debt and equity securities. FSP 115-2 and FSP 124-2</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effective for interim and annual reporting periods ending after June 15, 2009. The adoption of FSP 115-2 and FSP 124-2 did not have a material impact on our consolidated financial statements.</w:t>
      </w:r>
    </w:p>
    <w:p>
      <w:pPr>
        <w:spacing w:after="0" w:line="92" w:lineRule="exact"/>
        <w:rPr>
          <w:rFonts w:ascii="Arial" w:cs="Arial" w:eastAsia="Arial" w:hAnsi="Arial"/>
          <w:sz w:val="18"/>
          <w:szCs w:val="18"/>
          <w:b w:val="1"/>
          <w:bCs w:val="1"/>
          <w:color w:val="auto"/>
        </w:rPr>
      </w:pPr>
    </w:p>
    <w:p>
      <w:pPr>
        <w:ind w:left="660" w:right="40" w:hanging="436"/>
        <w:spacing w:after="0" w:line="271"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FAS 141(R)-1, </w:t>
      </w:r>
      <w:r>
        <w:rPr>
          <w:rFonts w:ascii="Arial" w:cs="Arial" w:eastAsia="Arial" w:hAnsi="Arial"/>
          <w:sz w:val="17"/>
          <w:szCs w:val="17"/>
          <w:i w:val="1"/>
          <w:iCs w:val="1"/>
          <w:color w:val="auto"/>
        </w:rPr>
        <w:t>Accounting for Assets Acquired and Liabilities Assumed in a Business Combination That Arise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(FSP 141 (R)-1). FSP 141 (R)-1 amends and clarifies FASB statement No. 141 (R),</w:t>
      </w:r>
      <w:r>
        <w:rPr>
          <w:rFonts w:ascii="Arial" w:cs="Arial" w:eastAsia="Arial" w:hAnsi="Arial"/>
          <w:sz w:val="17"/>
          <w:szCs w:val="17"/>
          <w:i w:val="1"/>
          <w:iCs w:val="1"/>
          <w:color w:val="auto"/>
        </w:rPr>
        <w:t xml:space="preserve"> Business Combinations </w:t>
      </w:r>
      <w:r>
        <w:rPr>
          <w:rFonts w:ascii="Arial" w:cs="Arial" w:eastAsia="Arial" w:hAnsi="Arial"/>
          <w:sz w:val="17"/>
          <w:szCs w:val="17"/>
          <w:color w:val="auto"/>
        </w:rPr>
        <w:t>(SFAS 141 (R))</w:t>
      </w:r>
      <w:r>
        <w:rPr>
          <w:rFonts w:ascii="Arial" w:cs="Arial" w:eastAsia="Arial" w:hAnsi="Arial"/>
          <w:sz w:val="17"/>
          <w:szCs w:val="17"/>
          <w:i w:val="1"/>
          <w:iCs w:val="1"/>
          <w:color w:val="auto"/>
        </w:rPr>
        <w:t xml:space="preserve">,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issues related to the recognition and measurement of assets and liabilities arising from contingencies in a business combination. Assets and liabilities assumed in a business combination that arise from contingencies should be recognized at fair value on the acquisition date if fair value can be reasonably estimated during the measurement period. If fair value cannot be reasonably estimated, companies should typically account for the acquired contingencies using existing guidance. We adopted SFAS 141(R) and FSP 141(R)-1 on January 1, 2009. We expect SFAS 141(R) and FSP 141(R)-1 will have an impact on our consolidated financial statements; however, the nature and magnitude of the impact will depend upon the nature, terms and size of the acquisition we consummate after the effective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table summarizes the fair value of our cash, cash equivalents and available-for-sale marketable securities held in our current investment portfolio: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Gross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(Losses)</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2009</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623,850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36,136,620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36,136,620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74,456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126,012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36,834,926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126,012</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36,960,938</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December 31, 2008</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243,883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29,799,103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29,799,103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 current (maturity within 1 year)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4,002,537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3,994,789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186,803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186,803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34,232,326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34,224,578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Gross unrealized gains and losses on cash equivalents were not material at June 30, 2009 and December 31, 2008. At June 30, 2009, our investment in marketable debt securities were in money market accounts composed primarily of U.S. Treasury securities and repurchase agreements that are backed by U.S. Treasury securities.</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investment in marketable equity securities consists of ordinary shares of ReNeuron Group Plc (ReNeuron), a publicly listed U.K. corporation. In July 2005, we entered into an agreement with ReNeuron under which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$3,075,000. We recognized approximately $716,000 as realized gain from this transaction. At December 31, 2008, we owned 4,821,924 shares of ReNeuron with a carrying and fair market value of approximately $187,000. In the first quarter of 2009, we sold 2,900,000 shares of ReNeuron and received net proceeds of approximately $510,000 for a realized gain of approximately $398,000. As of June 30, 2009, we owned 1,921,424 shares of ReNeuron with a carrying and fair market value of approximately $200,000.</w:t>
      </w:r>
    </w:p>
    <w:p>
      <w:pPr>
        <w:spacing w:after="0" w:line="5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Changes in the market value of our ReNeuron shares as a result of changes in market price per share or the exchange rate between the U.S. dollar and the British pound are accounted for under “other comprehensive income (loss)” if deemed temporary and are not recorded as “other income (expense), net” until the shares are disposed of and a gain or loss realized. 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For the three months ended June 30, 2009, we recorded an unrealized gain of approximately $83,000.</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December 2008 and March 2009, we made two secured loans to Stem Cell Sciences Plc (SCS) in connection with our acquisition negotiations with SCS. The loans accrued interest at 8% per annum and were repayable six months after the initial funding. At March 31, 2009, the principal and accrued interest for these two loans together totaled approximately $709,000. On April 1, 2009, we closed the acquisition of the operations of SCS, and in connection with that transaction, we waived the obligation of SCS to repay the principal and accrued interest of these two loans.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Effective January 1, 2008, we adopted SFAS 157. The adoption of SFAS 157 did not have a material impact on our financial statements.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SFAS 157 establishes a three-tier value hierarchy, which prioritizes the inputs used in the valuation methodologies in measuring fair value: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Level 2 — Directly or indirectly observable inputs other than in Level 1, that include quoted prices for similar assets or liabilities in active markets or quoted prices for identical or similar assets or liabilities in markets that are not active.</w:t>
      </w:r>
    </w:p>
    <w:p>
      <w:pPr>
        <w:spacing w:after="0" w:line="62" w:lineRule="exact"/>
        <w:rPr>
          <w:sz w:val="20"/>
          <w:szCs w:val="20"/>
          <w:color w:val="auto"/>
        </w:rPr>
      </w:pPr>
    </w:p>
    <w:p>
      <w:pPr>
        <w:ind w:left="240" w:right="780"/>
        <w:spacing w:after="0" w:line="277" w:lineRule="auto"/>
        <w:rPr>
          <w:sz w:val="20"/>
          <w:szCs w:val="20"/>
          <w:color w:val="auto"/>
        </w:rPr>
      </w:pPr>
      <w:r>
        <w:rPr>
          <w:rFonts w:ascii="Arial" w:cs="Arial" w:eastAsia="Arial" w:hAnsi="Arial"/>
          <w:sz w:val="18"/>
          <w:szCs w:val="18"/>
          <w:color w:val="auto"/>
        </w:rPr>
        <w:t>Level 3 — Unobservable inputs which are supported by little or no market activity that reflects the reporting entity’s own assumptions about the assumptions that market participants would use in pricing the asset or liability.</w:t>
      </w:r>
    </w:p>
    <w:p>
      <w:pPr>
        <w:spacing w:after="0" w:line="6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In accordance with SFAS 157, we measure our financial assets and liabilities at fair value. Our cash equivalents and marketable securities are classified within Level 1 or Level 2. This is because our cash equivalents and marketable securities are valued primarily using quoted market prices or alternative pricing sources and models utilizing market observable inputs. We currently do not have any Level 3 financial assets or liabilities.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financial assets and liabilities measured at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Fair Value Measurement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tcPr>
          <w:p>
            <w:pPr>
              <w:ind w:left="380"/>
              <w:spacing w:after="0" w:line="149" w:lineRule="exact"/>
              <w:rPr>
                <w:sz w:val="20"/>
                <w:szCs w:val="20"/>
                <w:color w:val="auto"/>
              </w:rPr>
            </w:pPr>
            <w:r>
              <w:rPr>
                <w:rFonts w:ascii="Arial" w:cs="Arial" w:eastAsia="Arial" w:hAnsi="Arial"/>
                <w:sz w:val="14"/>
                <w:szCs w:val="14"/>
                <w:b w:val="1"/>
                <w:bCs w:val="1"/>
                <w:color w:val="auto"/>
              </w:rPr>
              <w:t>at Reporting Date Using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Quoted Prices</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20" w:type="dxa"/>
            <w:vAlign w:val="bottom"/>
            <w:gridSpan w:val="4"/>
          </w:tcPr>
          <w:p>
            <w:pPr>
              <w:ind w:left="2680"/>
              <w:spacing w:after="0" w:line="149" w:lineRule="exact"/>
              <w:rPr>
                <w:sz w:val="20"/>
                <w:szCs w:val="20"/>
                <w:color w:val="auto"/>
              </w:rPr>
            </w:pPr>
            <w:r>
              <w:rPr>
                <w:rFonts w:ascii="Arial" w:cs="Arial" w:eastAsia="Arial" w:hAnsi="Arial"/>
                <w:sz w:val="14"/>
                <w:szCs w:val="14"/>
                <w:b w:val="1"/>
                <w:bCs w:val="1"/>
                <w:color w:val="auto"/>
              </w:rPr>
              <w:t>in Active Markets</w:t>
            </w:r>
          </w:p>
        </w:tc>
        <w:tc>
          <w:tcPr>
            <w:tcW w:w="10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for</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Equivalents: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715,058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35,421,562</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35,421,562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200,468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36,337,088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36,337,088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Bond payable</w:t>
            </w:r>
          </w:p>
        </w:tc>
        <w:tc>
          <w:tcPr>
            <w:tcW w:w="2780" w:type="dxa"/>
            <w:vAlign w:val="bottom"/>
            <w:gridSpan w:val="2"/>
          </w:tcPr>
          <w:p>
            <w:pPr>
              <w:ind w:left="268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936,667</w:t>
            </w:r>
          </w:p>
        </w:tc>
        <w:tc>
          <w:tcPr>
            <w:tcW w:w="6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936,667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21"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currently grant stock-based awards under three equity incentive plans. We had 19,025,067 shares authorized to be granted under the three plans as of June 30, 2009.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4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Our compensation expense for stock options and restricted stock units issued from our equity incentive plans for the three and six months ended June 30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Three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475,980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986,573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494,160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487,859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983,299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978,437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stock-based compensation expense and effect on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1,019,464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963,839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1,969,872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1,934,766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15"/>
        <w:spacing w:after="0" w:line="342" w:lineRule="auto"/>
        <w:rPr>
          <w:sz w:val="20"/>
          <w:szCs w:val="20"/>
          <w:color w:val="auto"/>
        </w:rPr>
      </w:pPr>
      <w:r>
        <w:rPr>
          <w:rFonts w:ascii="Arial" w:cs="Arial" w:eastAsia="Arial" w:hAnsi="Arial"/>
          <w:sz w:val="16"/>
          <w:szCs w:val="16"/>
          <w:color w:val="auto"/>
        </w:rPr>
        <w:t>As of June 30, 2009, we had approximately $7,047,000 of total unrecognized compensation expense related to unvested awards of stock options and restricted stock units granted under our various stock-based plans that we expect to recognize over a weighted-average vesting period of 2.6 years.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Incentive Stock Options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June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 options</w:t>
            </w:r>
          </w:p>
        </w:tc>
        <w:tc>
          <w:tcPr>
            <w:tcW w:w="50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exercise price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8,355,287</w:t>
            </w:r>
          </w:p>
        </w:tc>
        <w:tc>
          <w:tcPr>
            <w:tcW w:w="48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center"/>
              <w:ind w:left="430"/>
              <w:spacing w:after="0"/>
              <w:rPr>
                <w:sz w:val="20"/>
                <w:szCs w:val="20"/>
                <w:color w:val="auto"/>
              </w:rPr>
            </w:pPr>
            <w:r>
              <w:rPr>
                <w:rFonts w:ascii="Arial" w:cs="Arial" w:eastAsia="Arial" w:hAnsi="Arial"/>
                <w:sz w:val="18"/>
                <w:szCs w:val="18"/>
                <w:color w:val="auto"/>
                <w:w w:val="91"/>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1,255,800</w:t>
            </w:r>
          </w:p>
        </w:tc>
        <w:tc>
          <w:tcPr>
            <w:tcW w:w="480" w:type="dxa"/>
            <w:vAlign w:val="bottom"/>
          </w:tcPr>
          <w:p>
            <w:pPr>
              <w:spacing w:after="0"/>
              <w:rPr>
                <w:sz w:val="18"/>
                <w:szCs w:val="18"/>
                <w:color w:val="auto"/>
              </w:rPr>
            </w:pPr>
          </w:p>
        </w:tc>
        <w:tc>
          <w:tcPr>
            <w:tcW w:w="1720" w:type="dxa"/>
            <w:vAlign w:val="bottom"/>
            <w:gridSpan w:val="4"/>
          </w:tcPr>
          <w:p>
            <w:pPr>
              <w:jc w:val="center"/>
              <w:ind w:left="430"/>
              <w:spacing w:after="0"/>
              <w:rPr>
                <w:sz w:val="20"/>
                <w:szCs w:val="20"/>
                <w:color w:val="auto"/>
              </w:rPr>
            </w:pPr>
            <w:r>
              <w:rPr>
                <w:rFonts w:ascii="Arial" w:cs="Arial" w:eastAsia="Arial" w:hAnsi="Arial"/>
                <w:sz w:val="18"/>
                <w:szCs w:val="18"/>
                <w:color w:val="auto"/>
                <w:w w:val="91"/>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(185,623)</w:t>
            </w:r>
          </w:p>
        </w:tc>
        <w:tc>
          <w:tcPr>
            <w:tcW w:w="1720" w:type="dxa"/>
            <w:vAlign w:val="bottom"/>
            <w:gridSpan w:val="4"/>
            <w:shd w:val="clear" w:color="auto" w:fill="CCEEFF"/>
          </w:tcPr>
          <w:p>
            <w:pPr>
              <w:jc w:val="center"/>
              <w:ind w:left="430"/>
              <w:spacing w:after="0"/>
              <w:rPr>
                <w:sz w:val="20"/>
                <w:szCs w:val="20"/>
                <w:color w:val="auto"/>
              </w:rPr>
            </w:pPr>
            <w:r>
              <w:rPr>
                <w:rFonts w:ascii="Arial" w:cs="Arial" w:eastAsia="Arial" w:hAnsi="Arial"/>
                <w:sz w:val="18"/>
                <w:szCs w:val="18"/>
                <w:color w:val="auto"/>
                <w:w w:val="91"/>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(45,267)</w:t>
            </w:r>
          </w:p>
        </w:tc>
        <w:tc>
          <w:tcPr>
            <w:tcW w:w="1720" w:type="dxa"/>
            <w:vAlign w:val="bottom"/>
            <w:gridSpan w:val="4"/>
          </w:tcPr>
          <w:p>
            <w:pPr>
              <w:jc w:val="center"/>
              <w:ind w:left="430"/>
              <w:spacing w:after="0"/>
              <w:rPr>
                <w:sz w:val="20"/>
                <w:szCs w:val="20"/>
                <w:color w:val="auto"/>
              </w:rPr>
            </w:pPr>
            <w:r>
              <w:rPr>
                <w:rFonts w:ascii="Arial" w:cs="Arial" w:eastAsia="Arial" w:hAnsi="Arial"/>
                <w:sz w:val="18"/>
                <w:szCs w:val="18"/>
                <w:color w:val="auto"/>
                <w:w w:val="91"/>
              </w:rPr>
              <w:t>2.</w:t>
            </w:r>
            <w:r>
              <w:rPr>
                <w:rFonts w:ascii="Arial" w:cs="Arial" w:eastAsia="Arial" w:hAnsi="Arial"/>
                <w:sz w:val="18"/>
                <w:szCs w:val="18"/>
                <w:u w:val="single" w:color="auto"/>
                <w:color w:val="auto"/>
                <w:w w:val="91"/>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June 30, 2009</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9,380,197</w:t>
            </w:r>
          </w:p>
        </w:tc>
        <w:tc>
          <w:tcPr>
            <w:tcW w:w="48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center"/>
              <w:ind w:left="430"/>
              <w:spacing w:after="0"/>
              <w:rPr>
                <w:sz w:val="20"/>
                <w:szCs w:val="20"/>
                <w:color w:val="auto"/>
              </w:rPr>
            </w:pPr>
            <w:r>
              <w:rPr>
                <w:rFonts w:ascii="Arial" w:cs="Arial" w:eastAsia="Arial" w:hAnsi="Arial"/>
                <w:sz w:val="18"/>
                <w:szCs w:val="18"/>
                <w:color w:val="auto"/>
                <w:w w:val="91"/>
              </w:rPr>
              <w:t>2.</w:t>
            </w:r>
            <w:r>
              <w:rPr>
                <w:rFonts w:ascii="Arial" w:cs="Arial" w:eastAsia="Arial" w:hAnsi="Arial"/>
                <w:sz w:val="18"/>
                <w:szCs w:val="18"/>
                <w:u w:val="single" w:color="auto"/>
                <w:color w:val="auto"/>
                <w:w w:val="9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2"/>
        <w:spacing w:after="0" w:line="286" w:lineRule="auto"/>
        <w:rPr>
          <w:sz w:val="20"/>
          <w:szCs w:val="20"/>
          <w:color w:val="auto"/>
        </w:rPr>
      </w:pPr>
      <w:r>
        <w:rPr>
          <w:rFonts w:ascii="Arial" w:cs="Arial" w:eastAsia="Arial" w:hAnsi="Arial"/>
          <w:sz w:val="17"/>
          <w:szCs w:val="17"/>
          <w:color w:val="auto"/>
        </w:rPr>
        <w:t>The estimated weighted-average fair value of options granted in the three months ended June 30, 2009 and 2008 was approximately $1.41 and $1.19 per share respectively. The fair value of options granted is estimated as of the date of grant using the Black-Scholes option pricing model, which requires certain assumptions as of the date of grant. The weighted-average assumptions used as of June 30, 2009 and 2008 were as follows: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540" w:type="dxa"/>
            <w:vAlign w:val="bottom"/>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(years)(1)</w:t>
            </w: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7.39</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7.97</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7.44</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6.36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2.81%</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3.85%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2.72%</w:t>
            </w:r>
          </w:p>
        </w:tc>
        <w:tc>
          <w:tcPr>
            <w:tcW w:w="1620" w:type="dxa"/>
            <w:vAlign w:val="bottom"/>
            <w:gridSpan w:val="2"/>
          </w:tcPr>
          <w:p>
            <w:pPr>
              <w:jc w:val="right"/>
              <w:ind w:right="108"/>
              <w:spacing w:after="0"/>
              <w:rPr>
                <w:sz w:val="20"/>
                <w:szCs w:val="20"/>
                <w:color w:val="auto"/>
              </w:rPr>
            </w:pPr>
            <w:r>
              <w:rPr>
                <w:rFonts w:ascii="Arial" w:cs="Arial" w:eastAsia="Arial" w:hAnsi="Arial"/>
                <w:sz w:val="18"/>
                <w:szCs w:val="18"/>
                <w:color w:val="auto"/>
              </w:rPr>
              <w:t>2.89%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93.52%</w:t>
            </w:r>
          </w:p>
        </w:tc>
        <w:tc>
          <w:tcPr>
            <w:tcW w:w="1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94.52%</w:t>
            </w:r>
          </w:p>
        </w:tc>
        <w:tc>
          <w:tcPr>
            <w:tcW w:w="1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94.17%</w:t>
            </w:r>
          </w:p>
        </w:tc>
        <w:tc>
          <w:tcPr>
            <w:tcW w:w="16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93.87%</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We estimated this amount based on historical experience of similar awards, giving consideration to the contractual terms of the awards, vesting requirements, and expectation of future employee behavior, including post-vesting terminations.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historically issued any dividends, and we do not expect to in the foreseeable future.</w:t>
      </w:r>
    </w:p>
    <w:p>
      <w:pPr>
        <w:spacing w:after="0" w:line="117"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June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7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Number of options</w:t>
            </w:r>
          </w:p>
        </w:tc>
        <w:tc>
          <w:tcPr>
            <w:tcW w:w="460" w:type="dxa"/>
            <w:vAlign w:val="bottom"/>
          </w:tcPr>
          <w:p>
            <w:pPr>
              <w:spacing w:after="0"/>
              <w:rPr>
                <w:sz w:val="14"/>
                <w:szCs w:val="14"/>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date fair value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March 31, 2009</w:t>
            </w:r>
          </w:p>
        </w:tc>
        <w:tc>
          <w:tcPr>
            <w:tcW w:w="120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2,320,361</w:t>
            </w:r>
          </w:p>
        </w:tc>
        <w:tc>
          <w:tcPr>
            <w:tcW w:w="50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1,255,800</w:t>
            </w:r>
          </w:p>
        </w:tc>
        <w:tc>
          <w:tcPr>
            <w:tcW w:w="500" w:type="dxa"/>
            <w:vAlign w:val="bottom"/>
          </w:tcPr>
          <w:p>
            <w:pPr>
              <w:spacing w:after="0"/>
              <w:rPr>
                <w:sz w:val="18"/>
                <w:szCs w:val="18"/>
                <w:color w:val="auto"/>
              </w:rPr>
            </w:pPr>
          </w:p>
        </w:tc>
        <w:tc>
          <w:tcPr>
            <w:tcW w:w="2060" w:type="dxa"/>
            <w:vAlign w:val="bottom"/>
            <w:gridSpan w:val="4"/>
          </w:tcPr>
          <w:p>
            <w:pPr>
              <w:jc w:val="right"/>
              <w:ind w:right="6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(310,677)</w:t>
            </w:r>
          </w:p>
        </w:tc>
        <w:tc>
          <w:tcPr>
            <w:tcW w:w="20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June 30, 2009</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3,265,484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shares vested were approximately $659,000 in the three months ended June 30,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have granted restricted stock units (RSUs) to certain employees which entitle the holders to receive shares of our common stock upon vesting of the RSUs. The fair value of restricted stock units granted are based upon the market price of the underlying common stock as if it were vested and issued on the date of grant.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June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RSUs</w:t>
            </w:r>
          </w:p>
        </w:tc>
        <w:tc>
          <w:tcPr>
            <w:tcW w:w="480" w:type="dxa"/>
            <w:vAlign w:val="bottom"/>
          </w:tcPr>
          <w:p>
            <w:pPr>
              <w:spacing w:after="0"/>
              <w:rPr>
                <w:sz w:val="14"/>
                <w:szCs w:val="14"/>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date fair value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 (1)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4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Granted (2)</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953,068</w:t>
            </w:r>
          </w:p>
        </w:tc>
        <w:tc>
          <w:tcPr>
            <w:tcW w:w="2080" w:type="dxa"/>
            <w:vAlign w:val="bottom"/>
            <w:gridSpan w:val="4"/>
          </w:tcPr>
          <w:p>
            <w:pPr>
              <w:jc w:val="right"/>
              <w:ind w:right="6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Vested and converted to common shares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Cancelled</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unvested at June 30, 2009</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2,303,068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1,100,000 of these restricted stock units vest and convert into shares of our common stock over a three year period from the date of grant: one-third of the award will vest on each grant date anniversary over the following three years. 250,000 of these restricted stock units will vest and convert into shares of our common stock subject to attainment of certain performance criteria and will be forfeited if not met by March 31, 2011.</w:t>
      </w:r>
    </w:p>
    <w:p>
      <w:pPr>
        <w:spacing w:after="0" w:line="16" w:lineRule="exact"/>
        <w:rPr>
          <w:rFonts w:ascii="Arial" w:cs="Arial" w:eastAsia="Arial" w:hAnsi="Arial"/>
          <w:sz w:val="17"/>
          <w:szCs w:val="17"/>
          <w:color w:val="auto"/>
        </w:rPr>
      </w:pPr>
    </w:p>
    <w:p>
      <w:pPr>
        <w:ind w:left="460" w:right="2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restricted stock units vest and convert into shares of our common stock over a four year period from the date of grant: one-fourth of the award will vest on each grant date anniversary over the following four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SARs. The SARs have a maximum term of ten years with an exercise price of $2.00, which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 and liability are re-measured at each reporting date through the date of settlement.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June 30,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Number of SARs</w:t>
            </w: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1,430,849</w:t>
            </w:r>
          </w:p>
        </w:tc>
        <w:tc>
          <w:tcPr>
            <w:tcW w:w="44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Forfeited and expired</w:t>
            </w:r>
          </w:p>
        </w:tc>
        <w:tc>
          <w:tcPr>
            <w:tcW w:w="4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June 30, 2009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1,430,849</w:t>
            </w:r>
          </w:p>
        </w:tc>
        <w:tc>
          <w:tcPr>
            <w:tcW w:w="440" w:type="dxa"/>
            <w:vAlign w:val="bottom"/>
            <w:shd w:val="clear" w:color="auto" w:fill="CCEEFF"/>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SARs exercisable at June 30, 2009</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1,043,322</w:t>
            </w:r>
          </w:p>
        </w:tc>
        <w:tc>
          <w:tcPr>
            <w:tcW w:w="44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For the three months ended June 30, 2009, we re-measured the compensation expense and liability related to the SARs and recorded compensation expense of approximately $96,000. For the same period in 2008, due to forfeitures and a decrease in our common stock price, the re-measured fair value reduced compensation expense by approximately $116,000.</w:t>
      </w:r>
    </w:p>
    <w:p>
      <w:pPr>
        <w:spacing w:after="0" w:line="73"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At June 30, 2009, approximately $300,000 of unrecognized compensation expense related to SARs is expected to be recognized over a weighted average vesting period of approximately 1.0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Wind-Down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October 1999, we relocated to California from Rhode Island and established a wind 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summary of the changes to our wind-down reserve related to this facility as of June 30, 2009 and December 31,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January to</w:t>
            </w:r>
          </w:p>
        </w:tc>
        <w:tc>
          <w:tcPr>
            <w:tcW w:w="3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April to</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January to</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to</w:t>
            </w: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June 30,</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$ 4,448,000</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$ 4,323,000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$ 4,448,000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4,875,000</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9"/>
              </w:rPr>
              <w:t>Less actual expenses recorded against estimated reserve during the period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(331,000)</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(293,000)</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(624,000)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(1,293,000)</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206,000</w:t>
            </w: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866,000</w:t>
            </w: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4,323,000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4,060,000</w:t>
            </w:r>
          </w:p>
        </w:tc>
        <w:tc>
          <w:tcPr>
            <w:tcW w:w="6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4,060,000</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4,448,000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period-end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962,000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1,065,000</w:t>
            </w: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Total accrued wind-down expenses at period-end (current and non current)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$ 5,337,000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$ 5,022,000</w:t>
            </w: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$ 5,022,000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5,513,000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$ 1,496,000</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$ 1,438,000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$ 1,438,000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1,420,000</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Accrued wind-down expenses, non-current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3,584,000</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3,584,000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4,093,000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wind-down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$ 5,337,000</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$ 5,022,000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$ 5,022,000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5,513,000</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In accordance with SFAS No. 146. </w:t>
      </w:r>
      <w:r>
        <w:rPr>
          <w:rFonts w:ascii="Arial" w:cs="Arial" w:eastAsia="Arial" w:hAnsi="Arial"/>
          <w:sz w:val="18"/>
          <w:szCs w:val="18"/>
          <w:i w:val="1"/>
          <w:iCs w:val="1"/>
          <w:color w:val="auto"/>
        </w:rPr>
        <w:t>Accounting for Costs Associated with Exit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or Disposal Activities </w:t>
      </w:r>
      <w:r>
        <w:rPr>
          <w:rFonts w:ascii="Arial" w:cs="Arial" w:eastAsia="Arial" w:hAnsi="Arial"/>
          <w:sz w:val="17"/>
          <w:szCs w:val="17"/>
          <w:color w:val="auto"/>
        </w:rPr>
        <w:t>(SFAS 146), we established a short-term reserve of approximately $310,000 for the estimated costs to close down and exit our Australia</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The reserve reflects the estimated cost to terminate our facility lease in Australia (with an original termination date of December 31, 2010), employee termination benefits and other liabilities associated with the wind-down and relocation of our operations in Australia.</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reserve for the wind-down of our operations in Australia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facility costs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Employee termination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0" w:type="dxa"/>
            <w:vAlign w:val="bottom"/>
            <w:vMerge w:val="restart"/>
          </w:tcPr>
          <w:p>
            <w:pPr>
              <w:spacing w:after="0"/>
              <w:rPr>
                <w:sz w:val="20"/>
                <w:szCs w:val="20"/>
                <w:color w:val="auto"/>
              </w:rPr>
            </w:pPr>
            <w:r>
              <w:rPr>
                <w:rFonts w:ascii="Arial" w:cs="Arial" w:eastAsia="Arial" w:hAnsi="Arial"/>
                <w:sz w:val="18"/>
                <w:szCs w:val="18"/>
                <w:color w:val="auto"/>
              </w:rPr>
              <w:t>Total accrued wind-down expenses at June 30, 2009</w:t>
            </w: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$937,000 at June 30, 2009 and $1,009,000 at December 31, 2008.</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on a straight-line basis. Deferred rent expense for this facility was approximately $962,000 at June 30, 2009 and $1,065,000 at December 31, 2008, and is included as part of the wind-down accrual on the accompanying condensed consolidated balance sheet.</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The lease term expires March 31, 2010.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was approximately $271,000 as of June 30, 2009 and $437,000 as of December 31, 2008, and is reflected as deferred rent on our condensed consolidated balance sheet. As of June 30, 2009, we had a space-sharing agreement covering approximately 10,451 square feet of this facility, under which we receive base payments plus a proportionate share of the operating expenses based on square footage over the term of the agreement.</w:t>
      </w:r>
    </w:p>
    <w:p>
      <w:pPr>
        <w:spacing w:after="0" w:line="5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April 1, 2009, as part of our acquisition of the operations of SCS, we acquired operations in Cambridge, U.K.. Our wholly-owned subsidiary, Stem Cell Sciences UK Ltd, has two lease agreements with Babraham Bioscience Technologies Ltd., for approximately 3,900 square feet in total of office and lab space in Cambridge, U.K. The lease term for one ends on February 28, 2010, and the other on March 26, 2011, with annual lease payments of approximately 59,000 U.K. pounds (GBP) and 51,000 GBP, respectively.</w:t>
      </w:r>
    </w:p>
    <w:p>
      <w:pPr>
        <w:spacing w:after="0" w:line="7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April 1, 2009, as part of our acquisition of the operations of SCS, we acquired operations near Melbourne, Australia. Our wholly-owned subsidiary, Stem Cell Sciences (Australia) Pty Ltd, is in a lease agreement with Monash University for approximately 1,938 square feet of office and lab space in Victoria, Australia. The lease term ends on December 31, 2010. In order to reduce operating complexity and expenses, we made the decision to close our site in Australia and consolidate personnel and programs to our Cambridge, U.K. and Palo Alto, California sites. We expect to pay approximately $86,000 for an early termination of the lease and is included as part of the wind-down accrual on the accompanying condensed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3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July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and any successor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For these reasons, we have chosen to approximate the potential value of the offset receivable by assuming that all litigation charges actually incurred in the declaratory judgment action as of June 30, 2009, will ultimately be offset against royalties owed. Management will reevaluate this assumption on a quarterly basis based on actual costs and other relevant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 Liability</w:t>
      </w:r>
    </w:p>
    <w:p>
      <w:pPr>
        <w:spacing w:after="0" w:line="121"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 We recorded the fair value of the warrants to purchase 10,344,828 shares of our common stock as a liability. The fair value of the warrant liability is revalued at the end of each reporting period, with the change in fair value of the warrant liability recorded as a gain or loss in our Consolidated Statement of Operations. We used the Black-Scholes option pricing model to estimate the fair value of these warrants. In using this model, we make certain assumptions about risk-free interest rates, dividend yields, volatility and expected term of the warrants. Risk-free interest rates are derived from the yield on U.S. Treasury debt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assumptions used for the Black-Scholes option pricing model at June 30, 2009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2"/>
          </w:tcPr>
          <w:p>
            <w:pPr>
              <w:jc w:val="right"/>
              <w:ind w:right="10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gridSpan w:val="2"/>
          </w:tcPr>
          <w:p>
            <w:pPr>
              <w:jc w:val="right"/>
              <w:ind w:right="10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8"/>
        </w:trPr>
        <w:tc>
          <w:tcPr>
            <w:tcW w:w="3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At June 30, 2009</w:t>
            </w:r>
          </w:p>
        </w:tc>
        <w:tc>
          <w:tcPr>
            <w:tcW w:w="460" w:type="dxa"/>
            <w:vAlign w:val="bottom"/>
          </w:tcPr>
          <w:p>
            <w:pPr>
              <w:spacing w:after="0"/>
              <w:rPr>
                <w:sz w:val="24"/>
                <w:szCs w:val="24"/>
                <w:color w:val="auto"/>
              </w:rPr>
            </w:pPr>
          </w:p>
        </w:tc>
        <w:tc>
          <w:tcPr>
            <w:tcW w:w="1380" w:type="dxa"/>
            <w:vAlign w:val="bottom"/>
          </w:tcPr>
          <w:p>
            <w:pPr>
              <w:jc w:val="right"/>
              <w:ind w:right="199"/>
              <w:spacing w:after="0"/>
              <w:rPr>
                <w:sz w:val="20"/>
                <w:szCs w:val="20"/>
                <w:color w:val="auto"/>
              </w:rPr>
            </w:pPr>
            <w:r>
              <w:rPr>
                <w:rFonts w:ascii="Arial" w:cs="Arial" w:eastAsia="Arial" w:hAnsi="Arial"/>
                <w:sz w:val="14"/>
                <w:szCs w:val="14"/>
                <w:b w:val="1"/>
                <w:bCs w:val="1"/>
                <w:color w:val="auto"/>
              </w:rPr>
              <w:t>At March 31,</w:t>
            </w:r>
          </w:p>
        </w:tc>
        <w:tc>
          <w:tcPr>
            <w:tcW w:w="4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71"/>
        </w:trPr>
        <w:tc>
          <w:tcPr>
            <w:tcW w:w="388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23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84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$11,092,862</w:t>
            </w:r>
          </w:p>
        </w:tc>
        <w:tc>
          <w:tcPr>
            <w:tcW w:w="460" w:type="dxa"/>
            <w:vAlign w:val="bottom"/>
          </w:tcPr>
          <w:p>
            <w:pPr>
              <w:spacing w:after="0"/>
              <w:rPr>
                <w:sz w:val="19"/>
                <w:szCs w:val="19"/>
                <w:color w:val="auto"/>
              </w:rPr>
            </w:pPr>
          </w:p>
        </w:tc>
        <w:tc>
          <w:tcPr>
            <w:tcW w:w="1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$11,195,379</w:t>
            </w:r>
          </w:p>
        </w:tc>
        <w:tc>
          <w:tcPr>
            <w:tcW w:w="4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$(102,517)</w:t>
            </w:r>
          </w:p>
        </w:tc>
        <w:tc>
          <w:tcPr>
            <w:tcW w:w="0" w:type="dxa"/>
            <w:vAlign w:val="bottom"/>
          </w:tcPr>
          <w:p>
            <w:pPr>
              <w:spacing w:after="0"/>
              <w:rPr>
                <w:sz w:val="1"/>
                <w:szCs w:val="1"/>
                <w:color w:val="auto"/>
              </w:rPr>
            </w:pPr>
          </w:p>
        </w:tc>
      </w:tr>
      <w:tr>
        <w:trPr>
          <w:trHeight w:val="391"/>
        </w:trPr>
        <w:tc>
          <w:tcPr>
            <w:tcW w:w="3880" w:type="dxa"/>
            <w:vAlign w:val="bottom"/>
          </w:tcPr>
          <w:p>
            <w:pPr>
              <w:spacing w:after="0"/>
              <w:rPr>
                <w:sz w:val="24"/>
                <w:szCs w:val="24"/>
                <w:color w:val="auto"/>
              </w:rPr>
            </w:pP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fair value of the warrants will continue to be classified as a liability until such time as the warrants are exercised, expire or an amendment of the warrant agreement renders these warrants to be no longer classified as 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Major transactions involving our common stock for the three-month period ended June 30, 2009 include the following:</w:t>
      </w:r>
    </w:p>
    <w:p>
      <w:pPr>
        <w:spacing w:after="0" w:line="117" w:lineRule="exact"/>
        <w:rPr>
          <w:sz w:val="20"/>
          <w:szCs w:val="20"/>
          <w:color w:val="auto"/>
        </w:rPr>
      </w:pPr>
    </w:p>
    <w:p>
      <w:pPr>
        <w:jc w:val="both"/>
        <w:ind w:left="660" w:right="32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April 1, 2009, we acquired the operations of SCS. As consideration, we issued to SCS 2,650,000 shares of common stock and waived certain commitments of SCS to repay approximately $709,000 in principal and accrued interest owed to us. The closing price of our common stock was $1.67 per share on April 1, 2009.</w:t>
      </w:r>
    </w:p>
    <w:p>
      <w:pPr>
        <w:spacing w:after="0" w:line="86" w:lineRule="exact"/>
        <w:rPr>
          <w:rFonts w:ascii="Arial" w:cs="Arial" w:eastAsia="Arial" w:hAnsi="Arial"/>
          <w:sz w:val="18"/>
          <w:szCs w:val="18"/>
          <w:b w:val="1"/>
          <w:bCs w:val="1"/>
          <w:color w:val="auto"/>
        </w:rPr>
      </w:pPr>
    </w:p>
    <w:p>
      <w:pPr>
        <w:ind w:left="660" w:right="40" w:hanging="436"/>
        <w:spacing w:after="0" w:line="25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June 8, 2009, we filed a prospectus supplement that relates to the issuance and sale of up to $30,000,000 of our common stock, from time to time through our sales agent Cantor Fitzgerald &amp; Co (Cantor). These sales will be made pursuant to the terms of a sales agreement with Cantor, under which we will pay Cantor a fee of 3.0% of the gross proceeds. The prospectus is a part of a registration statement that we filed with the SEC on June 25, 2008, using a “shelf” registration process. Under this shelf registration process, we may offer to sell in one or more offerings up to a total dollar amount of $100,000,000.</w:t>
      </w:r>
    </w:p>
    <w:p>
      <w:pPr>
        <w:spacing w:after="0" w:line="93" w:lineRule="exact"/>
        <w:rPr>
          <w:rFonts w:ascii="Arial" w:cs="Arial" w:eastAsia="Arial" w:hAnsi="Arial"/>
          <w:sz w:val="18"/>
          <w:szCs w:val="18"/>
          <w:b w:val="1"/>
          <w:bCs w:val="1"/>
          <w:color w:val="auto"/>
        </w:rPr>
      </w:pPr>
    </w:p>
    <w:p>
      <w:pPr>
        <w:ind w:left="660" w:right="40" w:hanging="436"/>
        <w:spacing w:after="0" w:line="297"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 the second quarter of 2009, we sold an aggregate 4,937,400 shares of common stock at an average price of approximately $1.75 per share for gross proceeds of approximately $8,655,000. Of the 4,937,400 shares sold, 4,662,400 shares were sold pursuant to a sales agreement we entered into with Cantor in December 2006. Cantor was paid compensation equal to 5.0% of the gross proceeds and the total number of shares available to be sold under that agreement have been sold. The remaining 275,000 shares were sold pursuant to the sales agreement we entered into with Cantor in June 2009 and Cantor was paid compensation equal to 3.0% of the gross proceeds under the terms of this second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 of SCS Operations</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On April 1, 2009, we acquired the operations of SCS for an aggregate purchase price of approximately $5,135,000. The acquired operations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These acquired operations will help us pursue applications of our cell technologies to develop cell-based research tools, which we believe represent nearer-term commercial opportunities.</w:t>
      </w:r>
    </w:p>
    <w:p>
      <w:pPr>
        <w:spacing w:after="0" w:line="50" w:lineRule="exact"/>
        <w:rPr>
          <w:sz w:val="20"/>
          <w:szCs w:val="20"/>
          <w:color w:val="auto"/>
        </w:rPr>
      </w:pPr>
    </w:p>
    <w:p>
      <w:pPr>
        <w:ind w:right="480" w:firstLine="215"/>
        <w:spacing w:after="0" w:line="342" w:lineRule="auto"/>
        <w:rPr>
          <w:sz w:val="20"/>
          <w:szCs w:val="20"/>
          <w:color w:val="auto"/>
        </w:rPr>
      </w:pPr>
      <w:r>
        <w:rPr>
          <w:rFonts w:ascii="Arial" w:cs="Arial" w:eastAsia="Arial" w:hAnsi="Arial"/>
          <w:sz w:val="16"/>
          <w:szCs w:val="16"/>
          <w:color w:val="auto"/>
        </w:rPr>
        <w:t>As consideration for the acquired operations, we issued to SCS 2,650,000 shares of common stock and waived certain commitments of SCS to repay approximately $709,000 in principal and accrued interest owed to us. The closing price of our common stock on April 1, 2009 was $1.67 per share.</w:t>
      </w:r>
    </w:p>
    <w:p>
      <w:pPr>
        <w:spacing w:after="0" w:line="16"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transaction has been accounted for as a business purchase pursuant to SFAS 141(R). We have evaluated the acquired assets and liabilities and believe that the historical cost of the net tangible assets acquired approximated fair market value. The primary method used to calculate the fair value of the intangible assets was the “Excess Earnings Method”. These assets will be amortized over their estimated lives.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purchase price has been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Estimated 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620" w:type="dxa"/>
            <w:vAlign w:val="bottom"/>
            <w:gridSpan w:val="4"/>
          </w:tcPr>
          <w:p>
            <w:pPr>
              <w:ind w:left="3900"/>
              <w:spacing w:after="0" w:line="149" w:lineRule="exact"/>
              <w:rPr>
                <w:sz w:val="20"/>
                <w:szCs w:val="20"/>
                <w:color w:val="auto"/>
              </w:rPr>
            </w:pPr>
            <w:r>
              <w:rPr>
                <w:rFonts w:ascii="Arial" w:cs="Arial" w:eastAsia="Arial" w:hAnsi="Arial"/>
                <w:sz w:val="14"/>
                <w:szCs w:val="14"/>
                <w:color w:val="auto"/>
              </w:rPr>
              <w:t>Allocated purchase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intangible assets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price</w:t>
            </w:r>
          </w:p>
        </w:tc>
        <w:tc>
          <w:tcPr>
            <w:tcW w:w="6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412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36,000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Intangible assets: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 and developed technology</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1,310,000</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6 to 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 process research and development</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1,340,000</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13 to 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310,000</w:t>
            </w:r>
          </w:p>
        </w:tc>
        <w:tc>
          <w:tcPr>
            <w:tcW w:w="98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2,139,000</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5,135,000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900" w:type="dxa"/>
            <w:vAlign w:val="bottom"/>
          </w:tcPr>
          <w:p>
            <w:pPr>
              <w:jc w:val="right"/>
              <w:ind w:right="2734"/>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our acquisition of the operations of SCS, and in accordance with SFAS 141 (R), acquisition costs of approximately $539,000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$710,000, which primarily consists of legal and other professional fees, were expensed in the three and six-month periods ended June 30, 2009,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reported in our condensed consolidated statements of operations as part of our general &amp; administrative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Subsequent events have been evaluated through August 7, 2009, which represents the issuance date of these unaudited condensed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July 2009, we sold 1,555,000 shares of common stock at an average price of approximately $1.80 per share for gross proceeds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$2,800,000. The shares were sold pursuant to a sales agreement we entered into with Cantor in June 2009, under which Cantor was paid compensation equal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3.0% of the gross proceeds.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the Company’s HuCNS-SC cells for the treatment of Batten or any other disease; uncertainty as to whether the U.S. Food and Drug Administration (FDA) or other regulatory authorities will permit us to proceed with clinical testing of proposed products despite the novel and unproven nature of our technologies; the risk that one or more of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uncertainties about the design of future clinical trials and whether the Company will receive the necessary support of a clinical trial site and its institutional review board to pursue future clinical trials in NCL, PMD or in proposed therapies for other diseases or conditions; the uncertainty regarding our ability to obtain a corporate partner or partners, if needed, to support the development and commercialization of our potential cell-based therapeutics products;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II, Item 1A of this report and Part I, Item 1A included in our Annual Report on Form 10-K for the fiscal year ended December 31, 2008.</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focused on developing and commercializing cell-based technologies. Our research and development (R&amp;D) programs are primarily focused on identifying and developing potential cell-based therapeutics which can either restore or support organ function. In particular, since we relocated our corporate headquarters and research laboratories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in clinical development for two indications. In January 2009, we completed a six patient Phase I clinical trial of HuCNS-SC cells in infantile and late infantile neuronal ceroid lipofuscinosis (NCL), two forms of a group of disorders often referred to as Batten disease. The data from this Phase I trial showed that the HuCNS-SC cells were well tolerated, and there was evidence that the donor cells engrafted and survived. In December 2008, the FDA approved our IND to initiate a Phase I clinical trial of HuCNS-SC cells in a second indication, Pelizeaus-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Merzbacher Disease (PMD), a fatal myelination disorder in the brain. We expect the PMD trial to begin enrolling patients in 2009 and that the trial will take 12-18 months to complete. In addition, our HuCNS-SC cells are in preclinical development for spinal cord injury and retinal disorders. In our Liver Program, we are in preclinical development with our human liver engrafting cells and we plan to seek the necessary approvals to initiate a clinical study to evaluate hLEC as a potential cellular therapy, with the initial indication likely to be liver-based metabolic disorders.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70"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April 1, 2009, we acquired the operations of Stem Cell Sciences Plc (SCS). The acquired business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These acquired operations will help us pursue applications of our cell technologies to develop cell-based research tools, which we believe represent nearer-term commercial opportunities. See Note 9 “Acquisition of SCS Operations” in the notes to condensed financial statements of Part I, Item 1 of this form 10-Q for further information.</w:t>
      </w:r>
    </w:p>
    <w:p>
      <w:pPr>
        <w:spacing w:after="0" w:line="70"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have not derived any revenue or cash flows from the sale or commercialization of any therapeutic products. Through our acquisition of the SCS operations, we derived revenue from sales and royalties on sales of media. We have also derived revenue from licensing rights to our intellectual property. To date, all such revenue has been limited and there can be no assurance that these revenues will increase.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57" w:lineRule="exact"/>
        <w:rPr>
          <w:sz w:val="20"/>
          <w:szCs w:val="20"/>
          <w:color w:val="auto"/>
        </w:rPr>
      </w:pPr>
    </w:p>
    <w:p>
      <w:pPr>
        <w:ind w:right="400" w:firstLine="225"/>
        <w:spacing w:after="0" w:line="291" w:lineRule="auto"/>
        <w:rPr>
          <w:sz w:val="20"/>
          <w:szCs w:val="20"/>
          <w:color w:val="auto"/>
        </w:rPr>
      </w:pPr>
      <w:r>
        <w:rPr>
          <w:rFonts w:ascii="Arial" w:cs="Arial" w:eastAsia="Arial" w:hAnsi="Arial"/>
          <w:sz w:val="16"/>
          <w:szCs w:val="16"/>
          <w:color w:val="auto"/>
        </w:rPr>
        <w:t xml:space="preserve">Before we can derive revenue or cash inflows from the commercialization of any of our therapeutic product candidates, we will need to: (i) conduct substantial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and characterization of our proprietary cell types, (ii) undertake preclinical and clinical testing for specific disease indications;</w:t>
      </w:r>
    </w:p>
    <w:p>
      <w:pPr>
        <w:ind w:right="280"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validate and scale-up manufacturing processes to produce these cell-based therapeutics, and (iv) pursue required regulatory approvals. These steps are risky, expensive and time consuming.</w:t>
      </w:r>
    </w:p>
    <w:p>
      <w:pPr>
        <w:spacing w:after="0" w:line="7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Overall, we expect our R&amp;D expenses to be substantial and to increase for the foreseeable future as we continue the development and clinical investigation of our current and future therapeutic product candidates. In addition, we expect our expenses and expenditures to increase as we begin to develop and commercialize non-therapeutic applications of our cell-based technologies. However, expenditures on R&amp;D programs are subject to many uncertainties, including whether we develop our product candidates with a partner or independently. We cannot forecast with any degree of certainty which of our product candidates or technologies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products, including future regulatory requirements and legal restrictions on the procurement of human tissue for medical research,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therapeutic product candidates or any non-therapeutic applications of our cell-based technologies.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April 2009, we announced that a major international pharmaceutical company acquired a non-exclusive license to our Internal Ribosome Entry Site (IRES) technology, which we acquired as part of the SCS operations. The IRES technology enables researchers to genetically modify any mammalian cell and to monitor the activity of a particular gene of interest without blocking the normal function of the gene. The IRES technology is particularly important for evaluating the success of gene knock-outs or knock-ins in stem cells, as well as for the successful creation of transgenic mouse and rat disease models.</w:t>
      </w:r>
    </w:p>
    <w:p>
      <w:pPr>
        <w:spacing w:after="0" w:line="46"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 May 2009, the U.S. Patent and Trademark Office (PTO) upheld the validity of the remaining two neural stem cell patents which were subjected to reexamination proceedings commenced by Neuralstem, Inc. The upheld patents are the subject of two related lawsuits initiated by us against Neuralstem, which allege infringement of a total of six patents. These six patents collectively claim the manufacture and use of human neural stem and progenitor cells as tools for drug discovery and as therapeutic agents. The PTO’s decision to uphold the two patents is final and cannot be appealed.</w:t>
      </w:r>
    </w:p>
    <w:p>
      <w:pPr>
        <w:spacing w:after="0" w:line="6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May 2009, our collaborators at Oregon Health &amp; Science University Casey Eye Institute presented data showing our human central nervous system stem cells, when transplanted in an animal model of retinal degeneration, engraft long-term and can protect the retina from progressive degeneration. Retinal degeneration leads to loss of vision in diseases such as age-related macular degeneration.</w:t>
      </w:r>
    </w:p>
    <w:p>
      <w:pPr>
        <w:spacing w:after="0" w:line="73"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June 2009, we announced positive results from our Phase I clinical trial of our HuCNS-SC product candidate in infantile and late infantile neuronal ceroid lipofuscinosis (NCL), often referred to as Batten disease. This first Phase I trial was designed primarily to assess the safety of HuCNS-SC cells as a potential cell-based therapeutic. Overall, the trial data demonstrated that the HuCNS-SC cells, the transplantation procedure and the immunosuppression regimen were well tolerated by all six patients enrolled in the trial, and the patients’ medical, neurological and neuropsychological conditions, following transplantation, appeared consistent with the normal course of the disease. In addition to this favorable safety profile, there was evidence of engraftment and long-term survival of the HuCNS-SC cells.</w:t>
      </w:r>
    </w:p>
    <w:p>
      <w:pPr>
        <w:spacing w:after="0" w:line="85"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June 2009, we were added to the Russell 3000</w:t>
      </w:r>
      <w:r>
        <w:rPr>
          <w:rFonts w:ascii="Arial" w:cs="Arial" w:eastAsia="Arial" w:hAnsi="Arial"/>
          <w:sz w:val="15"/>
          <w:szCs w:val="15"/>
          <w:color w:val="auto"/>
        </w:rPr>
        <w:t>®</w:t>
      </w:r>
      <w:r>
        <w:rPr>
          <w:rFonts w:ascii="Arial" w:cs="Arial" w:eastAsia="Arial" w:hAnsi="Arial"/>
          <w:sz w:val="18"/>
          <w:szCs w:val="18"/>
          <w:color w:val="auto"/>
        </w:rPr>
        <w:t xml:space="preserve"> Index, a broad market index that measures the performance of the 3000 largest companies in the United States. As part of our membership in the Russell 3000, we are also included in the Russell 2000</w:t>
      </w:r>
      <w:r>
        <w:rPr>
          <w:rFonts w:ascii="Arial" w:cs="Arial" w:eastAsia="Arial" w:hAnsi="Arial"/>
          <w:sz w:val="15"/>
          <w:szCs w:val="15"/>
          <w:color w:val="auto"/>
        </w:rPr>
        <w:t>®</w:t>
      </w:r>
      <w:r>
        <w:rPr>
          <w:rFonts w:ascii="Arial" w:cs="Arial" w:eastAsia="Arial" w:hAnsi="Arial"/>
          <w:sz w:val="18"/>
          <w:szCs w:val="18"/>
          <w:color w:val="auto"/>
        </w:rPr>
        <w:t xml:space="preserve"> Index, which is a subset of the Russell 3000 representing the small capitalization segment of the U.S. equity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accounting principles generally accepted in the United States.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 xml:space="preserve">Effective January 1, 2006, we apply Statement of Financial Accounting Standards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requires us to recognize expense related to the fair value of our stock-based payment awards, including employee stock options. Under the provisions of SFAS 123R, employee stock-based payment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From January 1, 2006 to December 31, 2007, and in accordance with Staff Accounting Bulletin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107), the expected term was equal to the average of the contractual life of the stock option and its vesting period as of the date of grant (the simplified method). In December 2007, the Securities and Exchange Commission (SEC) issued Staff Accounting Bulletin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extending the availability of SAB 107 beyond its original deadline of December 31, 2007. The extension is available for companies under specified conditions that include a lack of sufficient historical exercise data related to their stock-based awards. Effective January 1, 2008, in accordance with SAB 110, we no longer use the simplified method and estimate the expected term based on historical experience of similar awards, giving consideration to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contractual terms of the awards, vesting requirements, and expectation of future employee behavior, including post-vesting terminations. The change of method in estimating the expected term did not have a material impact on our condensed consolidated financial statements.</w:t>
      </w:r>
    </w:p>
    <w:p>
      <w:pPr>
        <w:spacing w:after="0" w:line="38"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required under SFAS 123R, we review our valuation assumptions at each grant date and, as a result, our assumptions in future periods may change. As of June 30, 2009, total compensation cost related to unvested stock-based awards not yet recognized was approximately $7,047,000, which is expected to be recognized as expense over a weighted-average period of 2.6 years. See also Note 4, “Stock-Based Compensation,” in the notes to condensed consolidated financial statements of Part I, Item 1 of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Rhode Island</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In connection with exiting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Arial" w:cs="Arial" w:eastAsia="Arial" w:hAnsi="Arial"/>
          <w:sz w:val="17"/>
          <w:szCs w:val="17"/>
          <w:i w:val="1"/>
          <w:iCs w:val="1"/>
          <w:color w:val="auto"/>
        </w:rPr>
        <w:t>Liability Recognition for Certain Employee Termination Benefits and Other Costs to Exit an Activity (Including Certain Costs Incurred in a Restructuring)</w:t>
      </w:r>
      <w:r>
        <w:rPr>
          <w:rFonts w:ascii="Arial" w:cs="Arial" w:eastAsia="Arial" w:hAnsi="Arial"/>
          <w:sz w:val="17"/>
          <w:szCs w:val="17"/>
          <w:color w:val="auto"/>
        </w:rPr>
        <w:t>. The reserve reflects estimates of the ongoing costs of our former scientific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six years (2003 through 2008) was approximately 74%, varying from 66% to 89%. As of June 30, 2009, based on current information available to management, the vacancy rate is projected to be approximately 78% for 2009, approximately 75% for 2010 and approximately 70% from 2011 through the end of the lease. These estimates are based on actual occupancy as of June 30, 2009, predicted lead time for acquiring new subtenants, historical vacancy rates for the area, and assessments by our broker/realtor of future real estate market conditions. If the assumed vacancy rate from 2010 to the end of the lease had been 5% higher or lower at June 30, 2009, then the reserve would have increased or decreased by approximately $180,000. Similarly, a 5% increase or decrease in the operating expenses for the facility from 2010 on would have increased or decreased the reserve by approximately $91,000, and a 5% increase or decrease in the assumed average rental charge per square foot would have increased or decreased the reserve by approximately $45,000. Management does not wait for specific events to change its estimate, but instead uses its best efforts to anticipate them on a quarterly basis. See Note 5 “Wind-down expenses,” in the notes to condensed consolidated financial statements of Part I, Item 1 of this Form 10-Q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Australia</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On April 1, 2009, as part of our acquisition of the operations of SCS, we acquired operations near Melbourne, Australia. In order to reduce operating complexity and expenses, we made the decision to close our site in Australia and consolidate personnel and programs to our Cambridge, U.K. and Palo Alto, California sites. In accordance with SFAS No.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(SFAS 146), we established a short-term reserve of approximately $310,000, for the estimated costs to close down and exit our Australia operations. This reserve reflects the estimated cost to terminate our facility lease in Australia (with an original termination date of December 31, 2010), employee termination benefits and other liabilities associated with the wind-down and relocation of our operations in Australia.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 xml:space="preserve">We account for acquisitions using the purchase method of accounting under FASB statement No. 141 (R),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(R)). The operating results of acquired companies or operations are included in our consolidated financial statements starting on the date of acquisition. We account for goodwill and other intangible assets in accordance with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(SFAS142). Goodwill is recorded at the time of an acquisition and is calculated as the difference between the aggregate consideration paid for an acquisition and the fair value of the net tangible and intangible assets acquired. Accounting for acquisitions requires extensive use of accounting estimates and judgments to allocate the purchase price to the fair value of the net tangible and intangible assets acquired, including in-process research and development (IPR&amp;D). Goodwill and intangible assets deemed to have indefinite lives are not amortized but are subject to annual impairment tests. If the assumptions and estimates used to allocate the purchase price are not correct, or if business conditions change, purchase price adjustments or future asset impairment charges could be required. In accordance with SFAS No. 142, we test goodwill for impairment on an annual basis or more frequently if we believe indicators of impairment exist. Impairment evaluations involve management estimates of asset useful lives and future cash flows. Significant management judgment is required in the forecasts of future operating results that are used in the evaluations. It is possible, however, that the plans and estimates used may be incorrect. If our actual results, or the plans and estimates used in future impairment analysis, are lower than the original estimates used to assess the recoverability of these assets, we could incur additional impairment charges in a future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and development programs for both cell-based therapeutic products and research tools, unpredictable or unanticipated manufacturing and supply costs, unanticipated capital expenditures necessary to support our business, expenses arising out of the integration of the acquired SCS operations, developments in on-going patent protection and litigation, the on-going expenses to lease and maintain our Rhode Island facilities, and the increasing costs associated with operating our California and Cambridge, U.K.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Product Sales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Revenue for the three months and six months ended June 30, 2009, as compared with the same periods in 2008, is summarized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21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4"/>
              </w:rPr>
              <w:t>Change in 2009 versus 2008</w:t>
            </w:r>
          </w:p>
        </w:tc>
        <w:tc>
          <w:tcPr>
            <w:tcW w:w="16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4"/>
              </w:rPr>
              <w:t>Change in 2009 versus 2008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gridSpan w:val="2"/>
          </w:tcPr>
          <w:p>
            <w:pPr>
              <w:jc w:val="center"/>
              <w:ind w:left="577"/>
              <w:spacing w:after="0"/>
              <w:rPr>
                <w:sz w:val="20"/>
                <w:szCs w:val="20"/>
                <w:color w:val="auto"/>
              </w:rPr>
            </w:pPr>
            <w:r>
              <w:rPr>
                <w:rFonts w:ascii="Arial" w:cs="Arial" w:eastAsia="Arial" w:hAnsi="Arial"/>
                <w:sz w:val="14"/>
                <w:szCs w:val="14"/>
                <w:b w:val="1"/>
                <w:bCs w:val="1"/>
                <w:color w:val="auto"/>
                <w:w w:val="91"/>
              </w:rPr>
              <w:t>June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left="598"/>
              <w:spacing w:after="0"/>
              <w:rPr>
                <w:sz w:val="20"/>
                <w:szCs w:val="20"/>
                <w:color w:val="auto"/>
              </w:rPr>
            </w:pPr>
            <w:r>
              <w:rPr>
                <w:rFonts w:ascii="Arial" w:cs="Arial" w:eastAsia="Arial" w:hAnsi="Arial"/>
                <w:sz w:val="14"/>
                <w:szCs w:val="14"/>
                <w:b w:val="1"/>
                <w:bCs w:val="1"/>
                <w:color w:val="auto"/>
                <w:w w:val="91"/>
              </w:rPr>
              <w:t>June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Licensing agreements and</w:t>
            </w: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grants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$ 144,851</w:t>
            </w:r>
          </w:p>
        </w:tc>
        <w:tc>
          <w:tcPr>
            <w:tcW w:w="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29,832</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$ 115,019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386%</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$ 201,453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47,182</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$ 154,271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4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120,600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265,451</w:t>
            </w: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29,832</w:t>
            </w:r>
          </w:p>
        </w:tc>
        <w:tc>
          <w:tcPr>
            <w:tcW w:w="2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235,619</w:t>
            </w:r>
          </w:p>
        </w:tc>
        <w:tc>
          <w:tcPr>
            <w:tcW w:w="440" w:type="dxa"/>
            <w:vAlign w:val="bottom"/>
            <w:vMerge w:val="continue"/>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790%</w:t>
            </w:r>
          </w:p>
        </w:tc>
        <w:tc>
          <w:tcPr>
            <w:tcW w:w="16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322,053</w:t>
            </w: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47,182</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274,871</w:t>
            </w:r>
          </w:p>
        </w:tc>
        <w:tc>
          <w:tcPr>
            <w:tcW w:w="4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(59,525)</w:t>
            </w:r>
          </w:p>
        </w:tc>
        <w:tc>
          <w:tcPr>
            <w:tcW w:w="4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(59,525)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$ 205,926</w:t>
            </w:r>
          </w:p>
        </w:tc>
        <w:tc>
          <w:tcPr>
            <w:tcW w:w="4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29,832</w:t>
            </w:r>
          </w:p>
        </w:tc>
        <w:tc>
          <w:tcPr>
            <w:tcW w:w="2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$ 176,094</w:t>
            </w:r>
          </w:p>
        </w:tc>
        <w:tc>
          <w:tcPr>
            <w:tcW w:w="440" w:type="dxa"/>
            <w:vAlign w:val="bottom"/>
            <w:vMerge w:val="continue"/>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6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$ 262,528</w:t>
            </w:r>
          </w:p>
        </w:tc>
        <w:tc>
          <w:tcPr>
            <w:tcW w:w="4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47,182</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$ 215,346</w:t>
            </w:r>
          </w:p>
        </w:tc>
        <w:tc>
          <w:tcPr>
            <w:tcW w:w="4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117"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Total revenue in the second quarter of 2009 was approximately $265,000, which was 790% higher than total revenue in the second quarter of 2008. The increase in 2009 compared to 2008 was primarily attributable to consolidation of revenues from the acquired SCS operations in the second quarter of 2009, which were not part of our operations in the same period in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i w:val="1"/>
          <w:iCs w:val="1"/>
          <w:color w:val="auto"/>
        </w:rPr>
        <w:t xml:space="preserve">Second quarter ended June 30, 2009 versus second quarter ended June 30, 2008. </w:t>
      </w:r>
      <w:r>
        <w:rPr>
          <w:rFonts w:ascii="Arial" w:cs="Arial" w:eastAsia="Arial" w:hAnsi="Arial"/>
          <w:sz w:val="16"/>
          <w:szCs w:val="16"/>
          <w:color w:val="auto"/>
        </w:rPr>
        <w:t>Licensing and grant revenue for the second quarter of 2009 were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$145,000, or 386%, higher as compared to the same period in 2008. This increase was primarily attributable to approximately $90,000 in grant revenue recognized and consolidated as part of our acquisition of the SCS operations. Licensing and grant revenue for 2009 also includes approximately $21,000 from an existing grant from the National Institute of Diabetes and Digestive and Kidney Diseases to research and develop a potential cell-based therapeutic for liver disease. The remaining revenue under licensing and grant revenue for the second quarter of 2009 and 2008 consist of licensing fees from existing licensing agreements. In the second quarter of 2009, we recognized and consolidated approximately $121,000 and $60,000 as revenue from product sales and cost of product sales, respectively, in connection with our acquisition of the SCS operations, compared to none in the same period of 2008.</w:t>
      </w:r>
    </w:p>
    <w:p>
      <w:pPr>
        <w:spacing w:after="0" w:line="5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 xml:space="preserve">Six-month period ended June 30, 2009 versus six-month period ended June 30, 2008. </w:t>
      </w:r>
      <w:r>
        <w:rPr>
          <w:rFonts w:ascii="Arial" w:cs="Arial" w:eastAsia="Arial" w:hAnsi="Arial"/>
          <w:sz w:val="18"/>
          <w:szCs w:val="18"/>
          <w:color w:val="auto"/>
        </w:rPr>
        <w:t>Licensing and grant revenue for the second quarter of 2009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$201,000, or 326%, higher as compared to the same period in 2008. This increase was primarily attributable to approximately $90,000 in grant revenue recognized and consolidated as part of our acquisition of the SCS operations. Licensing and grant revenue for 2009 also includes approximately $51,000 from an existing grant from the National Institute of Diabetes and Digestive and Kidney Diseases to research and develop a potential cell-based therapeutic for liver disease. The remaining revenue under licensing and grant revenue for the six months ended June 30, 2009 and 2008 consist of licensing fees from existing licensing agreements. For the six months ended June 30, 2009, we recognized and consolidated approximately $121,000 and $60,000 as revenue from product sales and cost of product sales, respectively, in connection with of our acquisition of the SCS operations, compared to none in the same period of 2008.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Operating expenses for the three and six month periods ended June 30, 2009, as compared with the same periods in 2008,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Change in 2009 versus</w:t>
            </w:r>
          </w:p>
        </w:tc>
        <w:tc>
          <w:tcPr>
            <w:tcW w:w="100" w:type="dxa"/>
            <w:vAlign w:val="bottom"/>
          </w:tcPr>
          <w:p>
            <w:pPr>
              <w:spacing w:after="0"/>
              <w:rPr>
                <w:sz w:val="14"/>
                <w:szCs w:val="14"/>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Change in 2009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74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ind w:left="200"/>
              <w:spacing w:after="0" w:line="201" w:lineRule="exact"/>
              <w:rPr>
                <w:sz w:val="20"/>
                <w:szCs w:val="20"/>
                <w:color w:val="auto"/>
              </w:rPr>
            </w:pPr>
            <w:r>
              <w:rPr>
                <w:rFonts w:ascii="Arial" w:cs="Arial" w:eastAsia="Arial" w:hAnsi="Arial"/>
                <w:sz w:val="18"/>
                <w:szCs w:val="18"/>
                <w:color w:val="auto"/>
              </w:rPr>
              <w:t>Research &amp;</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400"/>
              <w:spacing w:after="0"/>
              <w:rPr>
                <w:sz w:val="20"/>
                <w:szCs w:val="20"/>
                <w:color w:val="auto"/>
              </w:rPr>
            </w:pPr>
            <w:r>
              <w:rPr>
                <w:rFonts w:ascii="Arial" w:cs="Arial" w:eastAsia="Arial" w:hAnsi="Arial"/>
                <w:sz w:val="18"/>
                <w:szCs w:val="18"/>
                <w:color w:val="auto"/>
              </w:rPr>
              <w:t>development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$ 5,054,600</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$ 4,415,615</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$ 638,985</w:t>
            </w:r>
          </w:p>
        </w:tc>
        <w:tc>
          <w:tcPr>
            <w:tcW w:w="4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9,290,389</w:t>
            </w:r>
          </w:p>
        </w:tc>
        <w:tc>
          <w:tcPr>
            <w:tcW w:w="18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8,915,366</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$ 375,023</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General &amp;</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2,201,974</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2,345,846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(143,872)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4,740,886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4,600,049</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140,837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340,064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167,250</w:t>
            </w:r>
          </w:p>
        </w:tc>
        <w:tc>
          <w:tcPr>
            <w:tcW w:w="740" w:type="dxa"/>
            <w:vAlign w:val="bottom"/>
          </w:tcPr>
          <w:p>
            <w:pPr>
              <w:jc w:val="right"/>
              <w:spacing w:after="0"/>
              <w:rPr>
                <w:sz w:val="20"/>
                <w:szCs w:val="20"/>
                <w:color w:val="auto"/>
              </w:rPr>
            </w:pPr>
            <w:r>
              <w:rPr>
                <w:rFonts w:ascii="Arial" w:cs="Arial" w:eastAsia="Arial" w:hAnsi="Arial"/>
                <w:sz w:val="18"/>
                <w:szCs w:val="18"/>
                <w:color w:val="auto"/>
              </w:rPr>
              <w:t>172,814</w:t>
            </w:r>
          </w:p>
        </w:tc>
        <w:tc>
          <w:tcPr>
            <w:tcW w:w="4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545,500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327,500</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218,000</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operating expenses</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$ 7,596,638</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$ 6,928,711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$ 667,927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14,576,775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13,842,915</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$ 733,860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R&amp;D expenses consist primarily of salaries and related personnel expenses, costs associated with clinical trials and regulatory submissions;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preclinical activities such as toxicology studies; costs associated with cell processing and process development; certain patent-related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licensing; facilities related costs such as depreciation; lab equipment and supplies. Clinical trial expenses include payments to vendors such as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organizations, contract manufacturers, clinical trial sites, laboratories for testing clinical samples and consultants. Cumulative R&amp;D costs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we refocused our activities on developing cell-based therapeutics (fiscal years 2000 through the six months ended June 30, 2009)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 million. Over this period, the majority of these cumulative costs were related to: (i) characterization of our proprietary HuCNS-SC cell, (ii)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toxicology and other preclinical studies, preparation and submission of applications to regulatory agencies to conduct clinical trials and obtaining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regulatory clearance to initiate such trials, all with respect to our HuCNS-SC cells, (iii) preclinical studies and development of our human liver engrafting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cells; and (iv) costs associated with cell processing and process development.</w:t>
      </w:r>
    </w:p>
    <w:p>
      <w:pPr>
        <w:spacing w:after="0" w:line="103"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R&amp;D expenses totaled approximately $5,055,000 in the second quarter of 2009 compared with $4,416,000 in the second quarter of 2008, and $9,290,000 for the six-month period ended June 30, 2009 compared with $8,915,000 for the six-month period ended June 30, 2008.</w:t>
      </w:r>
    </w:p>
    <w:p>
      <w:pPr>
        <w:spacing w:after="0" w:line="6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 xml:space="preserve">Second quarter ended June 30, 2009 versus second quarter ended June 30, 2008. </w:t>
      </w:r>
      <w:r>
        <w:rPr>
          <w:rFonts w:ascii="Arial" w:cs="Arial" w:eastAsia="Arial" w:hAnsi="Arial"/>
          <w:sz w:val="17"/>
          <w:szCs w:val="17"/>
          <w:color w:val="auto"/>
        </w:rPr>
        <w:t>R&amp;D expense totaled approximately $5,055,000 in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2009, as compared to $4,416,000 for the same period in 2008. The increase of approximately $639,000, or 14%, from 2008 to 2009 was primarily attributable to increased R&amp;D operations from our acquisition of the SCS operations. The R&amp;D activity associated with the SCS operations is primarily focused on developing cell technologies for non-therapeutic applications, such as use in cell-based assays for drug discovery.</w:t>
      </w:r>
    </w:p>
    <w:p>
      <w:pPr>
        <w:spacing w:after="0" w:line="6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Six-month period ended June 30, 2009 versus six-month period ended June 30, 2008. </w:t>
      </w:r>
      <w:r>
        <w:rPr>
          <w:rFonts w:ascii="Arial" w:cs="Arial" w:eastAsia="Arial" w:hAnsi="Arial"/>
          <w:sz w:val="18"/>
          <w:szCs w:val="18"/>
          <w:color w:val="auto"/>
        </w:rPr>
        <w:t>R&amp;D expense totaled approximately $9,290,000 in the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June 30, 2009, as compared to $8,915,000 for the same period in 2008. The increase of approximately $375,000, or 4%, from 2008 to 2009 was primarily attributable to approximately $648,000 of additional R&amp;D operations from our acquisition of the SCS operations. This increase was partially offset by a decrease in expenses for external services, including expenses related to manufacturing and testing of our cells and for our six-patient Phase I clinical trial for NCL, which was completed in January 2009.</w:t>
      </w:r>
    </w:p>
    <w:p>
      <w:pPr>
        <w:spacing w:after="0" w:line="80"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At June 30, 2009, we had 68 full-time employees working in research and development and laboratory support services as compared to 45 at June 30, 2008.</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380" w:firstLine="225"/>
        <w:spacing w:after="0" w:line="342" w:lineRule="auto"/>
        <w:rPr>
          <w:sz w:val="20"/>
          <w:szCs w:val="20"/>
          <w:color w:val="auto"/>
        </w:rPr>
      </w:pPr>
      <w:r>
        <w:rPr>
          <w:rFonts w:ascii="Arial" w:cs="Arial" w:eastAsia="Arial" w:hAnsi="Arial"/>
          <w:sz w:val="16"/>
          <w:szCs w:val="16"/>
          <w:color w:val="auto"/>
        </w:rPr>
        <w:t>General and administrative (G&amp;A) expenses totaled approximately $2,202,000 in the second quarter of 2009 compared with $2,346,000 in the second quarter of 2008, and $4,741,000 for the six-month period ended June 30, 2009 compared with $4,600,000 for the six-month period ended June 30, 2008.</w:t>
      </w:r>
    </w:p>
    <w:p>
      <w:pPr>
        <w:spacing w:after="0" w:line="16"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i w:val="1"/>
          <w:iCs w:val="1"/>
          <w:color w:val="auto"/>
        </w:rPr>
        <w:t xml:space="preserve">Second quarter ended June 30, 2009 versus second quarter ended June 30, 2008. </w:t>
      </w:r>
      <w:r>
        <w:rPr>
          <w:rFonts w:ascii="Arial" w:cs="Arial" w:eastAsia="Arial" w:hAnsi="Arial"/>
          <w:sz w:val="17"/>
          <w:szCs w:val="17"/>
          <w:color w:val="auto"/>
        </w:rPr>
        <w:t>G&amp;A expenses totaled approximately $2,202,000 in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2009, compared with $2,346,000 for the same period in 2008. The decrease of approximately $144,000, or 6%, from 2008 to 2009 was primarily attributable to a decrease in external services of approximately $484,000, mainly due to a decrease in legal expenses. This decrease was partially offset by approximately $172,000 of acquisition costs related to the acquisition of the SCS operations, an increase in personnel expenses of $124,000 primarily related to stock based compensation and an increase in other operating expenses of approximately $44,000.</w:t>
      </w:r>
    </w:p>
    <w:p>
      <w:pPr>
        <w:spacing w:after="0" w:line="64"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i w:val="1"/>
          <w:iCs w:val="1"/>
          <w:color w:val="auto"/>
        </w:rPr>
        <w:t xml:space="preserve">Six-month period ended June 30, 2009 versus six-month period ended June 30, 2008. </w:t>
      </w:r>
      <w:r>
        <w:rPr>
          <w:rFonts w:ascii="Arial" w:cs="Arial" w:eastAsia="Arial" w:hAnsi="Arial"/>
          <w:sz w:val="16"/>
          <w:szCs w:val="16"/>
          <w:color w:val="auto"/>
        </w:rPr>
        <w:t>G&amp;A expenses totaled approximately $4,741,000 in the six-month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ended June 30, 2009, compared with $4,600,000 for the same period in 2008. The increase of approximately $141,000, or 3%, from 2008 to 2009 was primarily attributable to approximately $710,000 of acquisition costs related to the acquisition of the SCS operations, an increase in personnel expenses of $235,000 primarily related to stock based compensation and an increase in other operating expenses of approximately $10,000. The increase was partially offset by a decrease in external services of approximately $814,000 primarily attributable to a decrease in legal fees.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Wind-down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June 30</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1"/>
              </w:rPr>
              <w:t>June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29,795</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$ 167,250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$ 235,231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$ 327,500</w:t>
            </w: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Australia</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310,269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310,269</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wind-down expenses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340,064</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$ 167,250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$ 545,500</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$ 327,500</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$5,513,000 at December 31, 2008. Payments net of subtenant income of approximately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$293,000 for the second quarter and $624,000 for the six months ended June 30, 2009 were recorded against this reserve. At June 30, 2009, we re-evaluated the estimate and adjusted the reserve to approximately $5,022,000 by recording in aggregate, additional wind-down expenses of approximately $30,000 in the second quarter of 2009, for a total of approximately $235,000 for the six months ended June 30, 2009. Payments recorded against the reserve were approximately $288,000 in the second quarter and $619,000 for the six months ended June 30, 2008 and additional expenses recorded to adjust the reserve were approximately $167,000 in the second quarter and $327,000 for the six months ended June 30, 2008.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5 “Wind-down expenses,” in the notes to condensed consolidated financial statements of Part I, Item 1 of this Form 10-Q for further information.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On April 1, 2009, as part of our acquisition of the operations of SCS, we acquired operations near Melbourne, Australia. In order to reduce operating complexity and expenses, we made the decision to close our site in Australia and consolidate personnel and programs to our Cambridge, U.K. and Palo Alto, California sites. In accordance with SFAS No.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(SFAS 146), we established a short-term reserve of approximately $310,000, for the estimated costs to close down and exit our Australia operations. The reserve reflects the estimated cost to terminate our facility lease in Australia (with an original termination date of December 31, 2010), employee termination benefits and other liabilities associated with the wind-down and relocation of our operations in Australia. See Note 5 “Wind-down expenses,” in the notes to condensed consolidated financial statements of Part I, Item 1 of this Form 10-Q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Other income totaled approximately $24,000 in the second quarter of 2009 compared with $183,000 in the same period of 2008, and other expense of $2,334,000 for the six months ended June 30, 2009 compared with other income of $536,000 for the six months ended June 30, 2008.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Change in 2009 versus</w:t>
            </w:r>
          </w:p>
        </w:tc>
        <w:tc>
          <w:tcPr>
            <w:tcW w:w="10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2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 in 2009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9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200"/>
              <w:spacing w:after="0" w:line="201" w:lineRule="exact"/>
              <w:rPr>
                <w:sz w:val="20"/>
                <w:szCs w:val="20"/>
                <w:color w:val="auto"/>
              </w:rPr>
            </w:pPr>
            <w:r>
              <w:rPr>
                <w:rFonts w:ascii="Arial" w:cs="Arial" w:eastAsia="Arial" w:hAnsi="Arial"/>
                <w:sz w:val="18"/>
                <w:szCs w:val="18"/>
                <w:color w:val="auto"/>
              </w:rPr>
              <w:t>Gain on sale of</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w w:val="98"/>
              </w:rPr>
              <w:t>marketable securities</w:t>
            </w:r>
          </w:p>
        </w:tc>
        <w:tc>
          <w:tcPr>
            <w:tcW w:w="2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397,866</w:t>
            </w:r>
          </w:p>
        </w:tc>
        <w:tc>
          <w:tcPr>
            <w:tcW w:w="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   397,866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 liability</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102,517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102,517</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(2,652,931)</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(2,652,931)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8,338</w:t>
            </w:r>
          </w:p>
        </w:tc>
        <w:tc>
          <w:tcPr>
            <w:tcW w:w="700" w:type="dxa"/>
            <w:vAlign w:val="bottom"/>
          </w:tcPr>
          <w:p>
            <w:pPr>
              <w:jc w:val="right"/>
              <w:spacing w:after="0"/>
              <w:rPr>
                <w:sz w:val="20"/>
                <w:szCs w:val="20"/>
                <w:color w:val="auto"/>
              </w:rPr>
            </w:pPr>
            <w:r>
              <w:rPr>
                <w:rFonts w:ascii="Arial" w:cs="Arial" w:eastAsia="Arial" w:hAnsi="Arial"/>
                <w:sz w:val="18"/>
                <w:szCs w:val="18"/>
                <w:color w:val="auto"/>
              </w:rPr>
              <w:t>216,109</w:t>
            </w:r>
          </w:p>
        </w:tc>
        <w:tc>
          <w:tcPr>
            <w:tcW w:w="2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(207,771)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50,285</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599,774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(549,489)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(29,074)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(28,970)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(57,250)</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(57,161)</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(57,424)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(3,736)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(53,688)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(71,634)</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(7,345)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(64,289)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$ 24,357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$ 183,403</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(159,046)</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(2,333,664)</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$ 535,268</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(2,868,932)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Marketable Equity Securities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the first quarter of 2009, we sold in aggregate 2,900,000 shares of ReNeuron and received proceeds of approximately $510,000. We recognized a realized gain of approximately $398,000 for the quarter. We did not sell any ReNeuron shares in the second quarter of 2009. We owned 1,921,424 ordinary shares of ReNeuron at June 30, 2009.</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connection with our financing in November 2008, we issued warrants to purchase in aggregate 10,344,828 shares of common stock at an exercise price of $2.30 per share and recorded the fair value of these warrants as a liability. The fair value of the warrant liability is revalued at the end of each reporting period, with the change in fair value of the warrant liability recorded as a gain or loss in our Consolidated Statements of Operations. We used the Black-Scholes option pricing model to estimate the fair value of these warrants and in using this model, we make certain assumptions about risk-free interest rates, dividend yields, volatility and expected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term of the warrants. See Note 7 “Warrant Liability” in the Notes to condensed consolidated financial statements of Part I, Item 1 of this Form 10-Q for further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8,439,931</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Change in fair value at March 31, 2009</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2,755,448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March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11,195,379</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Change in fair value at June 30,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(102,517)</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June 30, 2009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11,092,862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Interest income for the three months ended June 30, 2009 decreased by approximately $208,000, or 96%, compared to the same period in 2008. For the six months ended June 30, 2009, interest income decreased by approximately $549,000, or 92%, compared to the same period in 2008. The decreases in 2009 were primarily due to a lower average yield. See “Cash Used in Investing Activities,” in Liquidity and Capital Resources below for further information.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Interest expense for the three and six months ended June 30, 2009, was relatively flat when compared to similar periods in 2008. Interest expense is primarily for outstanding debt and capital lease balances. See Note 6 “Commitment and Contingencies,” in the notes to condensed consolidated financial statements of Part I, Item 1 of this Form 10-Q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9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4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8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$36,760,470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$34,037,775</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8"/>
                <w:szCs w:val="18"/>
                <w:color w:val="auto"/>
              </w:rPr>
              <w:t>$2,722,695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0"/>
        </w:trPr>
        <w:tc>
          <w:tcPr>
            <w:tcW w:w="4840" w:type="dxa"/>
            <w:vAlign w:val="bottom"/>
          </w:tcPr>
          <w:p>
            <w:pPr>
              <w:ind w:left="240"/>
              <w:spacing w:after="0"/>
              <w:rPr>
                <w:sz w:val="20"/>
                <w:szCs w:val="20"/>
                <w:color w:val="auto"/>
              </w:rPr>
            </w:pPr>
            <w:r>
              <w:rPr>
                <w:rFonts w:ascii="Arial" w:cs="Arial" w:eastAsia="Arial" w:hAnsi="Arial"/>
                <w:sz w:val="18"/>
                <w:szCs w:val="18"/>
                <w:color w:val="auto"/>
              </w:rPr>
              <w:t>In summary, our cash flows were:</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1"/>
              </w:rPr>
              <w:t>Change in</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0" w:type="dxa"/>
            <w:vAlign w:val="bottom"/>
            <w:gridSpan w:val="6"/>
            <w:vMerge w:val="restart"/>
          </w:tcPr>
          <w:p>
            <w:pPr>
              <w:jc w:val="right"/>
              <w:ind w:right="1200"/>
              <w:spacing w:after="0"/>
              <w:rPr>
                <w:sz w:val="20"/>
                <w:szCs w:val="20"/>
                <w:color w:val="auto"/>
              </w:rPr>
            </w:pPr>
            <w:r>
              <w:rPr>
                <w:rFonts w:ascii="Arial" w:cs="Arial" w:eastAsia="Arial" w:hAnsi="Arial"/>
                <w:sz w:val="14"/>
                <w:szCs w:val="14"/>
                <w:b w:val="1"/>
                <w:bCs w:val="1"/>
                <w:color w:val="auto"/>
              </w:rPr>
              <w:t>Six months ended June 30,</w:t>
            </w:r>
          </w:p>
        </w:tc>
        <w:tc>
          <w:tcPr>
            <w:tcW w:w="1780" w:type="dxa"/>
            <w:vAlign w:val="bottom"/>
            <w:gridSpan w:val="4"/>
          </w:tcPr>
          <w:p>
            <w:pPr>
              <w:jc w:val="center"/>
              <w:ind w:left="111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gridSpan w:val="4"/>
          </w:tcPr>
          <w:p>
            <w:pPr>
              <w:jc w:val="center"/>
              <w:ind w:left="402"/>
              <w:spacing w:after="0" w:line="158" w:lineRule="exact"/>
              <w:rPr>
                <w:sz w:val="20"/>
                <w:szCs w:val="20"/>
                <w:color w:val="auto"/>
              </w:rPr>
            </w:pPr>
            <w:r>
              <w:rPr>
                <w:rFonts w:ascii="Arial" w:cs="Arial" w:eastAsia="Arial" w:hAnsi="Arial"/>
                <w:sz w:val="14"/>
                <w:szCs w:val="14"/>
                <w:b w:val="1"/>
                <w:bCs w:val="1"/>
                <w:color w:val="auto"/>
                <w:w w:val="90"/>
              </w:rPr>
              <w:t>Versus 2008</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48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60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$(12,382,825)</w:t>
            </w:r>
          </w:p>
        </w:tc>
        <w:tc>
          <w:tcPr>
            <w:tcW w:w="4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$(12,226,271)</w:t>
            </w:r>
          </w:p>
        </w:tc>
        <w:tc>
          <w:tcPr>
            <w:tcW w:w="3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(156,554)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  4,038,189</w:t>
            </w:r>
          </w:p>
        </w:tc>
        <w:tc>
          <w:tcPr>
            <w:tcW w:w="400" w:type="dxa"/>
            <w:vAlign w:val="bottom"/>
          </w:tcPr>
          <w:p>
            <w:pPr>
              <w:spacing w:after="0"/>
              <w:rPr>
                <w:sz w:val="18"/>
                <w:szCs w:val="18"/>
                <w:color w:val="auto"/>
              </w:rPr>
            </w:pPr>
          </w:p>
        </w:tc>
        <w:tc>
          <w:tcPr>
            <w:tcW w:w="1440" w:type="dxa"/>
            <w:vAlign w:val="bottom"/>
            <w:gridSpan w:val="3"/>
          </w:tcPr>
          <w:p>
            <w:pPr>
              <w:ind w:left="200"/>
              <w:spacing w:after="0"/>
              <w:rPr>
                <w:sz w:val="20"/>
                <w:szCs w:val="20"/>
                <w:color w:val="auto"/>
              </w:rPr>
            </w:pPr>
            <w:r>
              <w:rPr>
                <w:rFonts w:ascii="Arial" w:cs="Arial" w:eastAsia="Arial" w:hAnsi="Arial"/>
                <w:sz w:val="18"/>
                <w:szCs w:val="18"/>
                <w:color w:val="auto"/>
              </w:rPr>
              <w:t>$ 21,010,191</w:t>
            </w:r>
          </w:p>
        </w:tc>
        <w:tc>
          <w:tcPr>
            <w:tcW w:w="380" w:type="dxa"/>
            <w:vAlign w:val="bottom"/>
          </w:tcPr>
          <w:p>
            <w:pPr>
              <w:spacing w:after="0"/>
              <w:rPr>
                <w:sz w:val="18"/>
                <w:szCs w:val="18"/>
                <w:color w:val="auto"/>
              </w:rPr>
            </w:pP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rPr>
              <w:t>$(16,972,002)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$ 15,208,452</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49,634</w:t>
            </w:r>
          </w:p>
        </w:tc>
        <w:tc>
          <w:tcPr>
            <w:tcW w:w="3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$ 15,158,818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30,541%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Net cash used in operating activities in the first six months of 2009 was up slightly compared to the same period of 2008. Cash used in operating activities is primarily driven by our net loss but operating cash flows differ from net loss due to non-cash charges or differences in the timing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decrease of approximately $16,972,000 or 81% from 2008 to 2009 for net cash provided by investing activities, was primarily attributable to a higher number of marketable debt securities maturing in the first six months of 2008 as compared to the similar period in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increase from 2008 to 2009 of approximately $15,159,000 for net cash provided by financing activities was primarily attributable to net proceeds of approximately $14,987,000 from the sale of approximately 8,262,000 shares of common stock at 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average price of $1.89 per share in the six months ended June 30, 2009. These shares were sold under sales agreements with Cantor Fitzgerald &amp; Co.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(“Cantor”).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ind w:left="660" w:right="60" w:hanging="436"/>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June 2009, we sold a total of 275,000 shares of common stock under a sales agreement with Cantor, which we entered into and filed a Prospectus Supplement to announce, in June 2009. These shares were sold at an average price of $1.79 per share for gross proceeds of approximately $491,000. Under the terms of the agreement, up to $30,000,000 worth of shares may be sold from time to time under a shelf registration statement and Cantor is paid compensation equal to 3.0% of the gross proceeds of such sales.</w:t>
      </w:r>
    </w:p>
    <w:p>
      <w:pPr>
        <w:spacing w:after="0" w:line="92" w:lineRule="exact"/>
        <w:rPr>
          <w:rFonts w:ascii="Arial" w:cs="Arial" w:eastAsia="Arial" w:hAnsi="Arial"/>
          <w:sz w:val="18"/>
          <w:szCs w:val="18"/>
          <w:b w:val="1"/>
          <w:bCs w:val="1"/>
          <w:color w:val="auto"/>
        </w:rPr>
      </w:pPr>
    </w:p>
    <w:p>
      <w:pPr>
        <w:ind w:left="660" w:right="220" w:hanging="436"/>
        <w:spacing w:after="0" w:line="279"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From January 2007 through June 2009, we sold a total of 10,000,000 shares of common stock under a sales agreement with Cantor, which we entered into and filed a Prospectus Supplement to announce, in December 2006. These shares were sold at an average price of $2.06 per share for gross proceeds of approximately $20,555,000. Under the terms of this agreement, up to 10,000,000 shares could be sold from time to time under a shelf registration statement and Cantor was paid compensation equal to 5.0% of the gross proceeds.</w:t>
      </w:r>
    </w:p>
    <w:p>
      <w:pPr>
        <w:spacing w:after="0" w:line="76" w:lineRule="exact"/>
        <w:rPr>
          <w:rFonts w:ascii="Arial" w:cs="Arial" w:eastAsia="Arial" w:hAnsi="Arial"/>
          <w:sz w:val="17"/>
          <w:szCs w:val="17"/>
          <w:b w:val="1"/>
          <w:bCs w:val="1"/>
          <w:color w:val="auto"/>
        </w:rPr>
      </w:pPr>
    </w:p>
    <w:p>
      <w:pPr>
        <w:ind w:left="660" w:right="20" w:hanging="436"/>
        <w:spacing w:after="0" w:line="279"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 We received total proceeds net of offering expenses and placement agency fees of approximately $18,637,000.</w:t>
      </w:r>
    </w:p>
    <w:p>
      <w:pPr>
        <w:spacing w:after="0" w:line="76" w:lineRule="exact"/>
        <w:rPr>
          <w:rFonts w:ascii="Arial" w:cs="Arial" w:eastAsia="Arial" w:hAnsi="Arial"/>
          <w:sz w:val="17"/>
          <w:szCs w:val="17"/>
          <w:b w:val="1"/>
          <w:bCs w:val="1"/>
          <w:color w:val="auto"/>
        </w:rPr>
      </w:pPr>
    </w:p>
    <w:p>
      <w:pPr>
        <w:ind w:left="660" w:right="6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April 2007, a warrant issued as part of our June 2004 financing was exercised to purchase an aggregate of 575,658 shares of our common stock at $1.90 per share. We issued 575,658 shares of our common stock and received proceeds of approximately $1,094,000.</w:t>
      </w:r>
    </w:p>
    <w:p>
      <w:pPr>
        <w:spacing w:after="0" w:line="51" w:lineRule="exact"/>
        <w:rPr>
          <w:rFonts w:ascii="Arial" w:cs="Arial" w:eastAsia="Arial" w:hAnsi="Arial"/>
          <w:sz w:val="17"/>
          <w:szCs w:val="17"/>
          <w:b w:val="1"/>
          <w:bCs w:val="1"/>
          <w:color w:val="auto"/>
        </w:rPr>
      </w:pPr>
    </w:p>
    <w:p>
      <w:pPr>
        <w:ind w:left="660" w:right="280" w:hanging="436"/>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April 2006, we sold 11,750,820 shares of our common stock to institutional investors at a price of $3.05 per share, for gross proceeds of approximately $35,840,000. The shares were offered as a registered direct offering under an effective shelf registration statement previously filed with and declared effective by the SEC. We received total proceeds, net of offering expenses and placement agency fees, of approximately $33,422,000. No warrants were issued as part of this financing transaction.</w:t>
      </w:r>
    </w:p>
    <w:p>
      <w:pPr>
        <w:spacing w:after="0" w:line="92" w:lineRule="exact"/>
        <w:rPr>
          <w:rFonts w:ascii="Arial" w:cs="Arial" w:eastAsia="Arial" w:hAnsi="Arial"/>
          <w:sz w:val="18"/>
          <w:szCs w:val="18"/>
          <w:b w:val="1"/>
          <w:bCs w:val="1"/>
          <w:color w:val="auto"/>
        </w:rPr>
      </w:pPr>
    </w:p>
    <w:p>
      <w:pPr>
        <w:ind w:left="660" w:right="14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March 2006, a warrant issued as part of our June 2004 financing was exercised to purchase an aggregate of 526,400 shares of our common stock at $1.89 per share. We issued 526,400 shares of our common stock and received proceeds of approximately $995,000.</w:t>
      </w:r>
    </w:p>
    <w:p>
      <w:pPr>
        <w:spacing w:after="0" w:line="38"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August 3, 2009, we had approximately $61 million under our universal shelf registration statement available for issuing debt or equity securities; approximately $24 million of this $61 million has been reserved for the potential exercise of the warrants issued in connection with our November 2008 financing.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See Note 6,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California</w:t>
      </w:r>
    </w:p>
    <w:p>
      <w:pPr>
        <w:spacing w:after="0" w:line="117"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We entered into and amended a lease agreement for an approximately 68,000 square foot facility located at the Stanford Research Park in Palo Alto, California. At June 30, 2009, we had a space-sharing agreement covering approximately 10,451 square feet of this facility. We receive base payments plus a proportionate share of the operating expenses based on square footage over the term of the agreement. We expect to receive, in aggregate, approximately $304,000 as part of the space-sharing agreement for the remainder of 2009. As a result of the above transactions, our estimated net cash outlay for rent and operating expenses will be approximately $1,600,000 for the remainder of 2009.</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Rhode Island</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in a sale and leaseback arrangement. The lease includes escalating rent payments. We expect to pay approximately $586,000 in operating lease payments and estimated operating expenses of approximately $299,000, before receipt of sub-tenant income, for the remainder of 2009. We expect to receive, in aggregate, approximately $147,000 in sub-tenant rent and operating expense for the remainder of 2009. As a result of the above transactions, our estimated cash outlay net of sub-tenant rent for the facility will be approximately $738,000 for the remainder of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United Kingdom</w:t>
      </w:r>
    </w:p>
    <w:p>
      <w:pPr>
        <w:spacing w:after="0" w:line="117"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7"/>
          <w:szCs w:val="17"/>
          <w:color w:val="auto"/>
        </w:rPr>
        <w:t>On April 1, 2009, as part of our acquisition of the operations of SCS, we acquired operations in Cambridge, U.K.. Our wholly-owned subsidiary, Stem Cell Sciences UK Ltd, has two lease agreements with Babraham Bioscience Technologies Ltd., for in aggregate space of approximately 3,900 square feet of office and lab space in Cambridge, U.K.. The lease term for one ends on February 28, 2010 and the other on March 26, 2011. For these two leases, at June 30, 2009, we expect to pay approximately 55,000 U.K. pounds (GBP) as rental payments for the remainder of 2009.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Australia</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April 1, 2009, as part of our acquisition of the operations of SCS, we acquired operations near Melbourne, Australia. Our wholly-owned subsidiary, Stem Cell Sciences (Australia) Pty Ltd, is in a lease agreement with Monash University for approximately 1,938 square feet of office and lab space in Victoria, Australia. The lease term ends on December 31, 2010. In order to reduce operating complexity and expenses, we made the decision to close our site in Australia and consolidate personnel and programs to our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Cambridge, U.K. and Palo Alto, California sites. We expect to pay approximately $86,000 for an early termination of the lease. See Note 5 “Wind-down expenses,” in the notes to condensed consolidated financial statements of Part I, Item 1 of this Form 10-Q for further information.</w:t>
      </w:r>
    </w:p>
    <w:p>
      <w:pPr>
        <w:spacing w:after="0" w:line="38"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During the first six months of 2009, we believe that there have been no significant changes in our payments due under contractual obligations, as disclosed in our Annual Report on Form 10-K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June 2009, the Financial Accounting Standards Board (FASB) issued SFAS No. 168, </w:t>
      </w:r>
      <w:r>
        <w:rPr>
          <w:rFonts w:ascii="Arial" w:cs="Arial" w:eastAsia="Arial" w:hAnsi="Arial"/>
          <w:sz w:val="18"/>
          <w:szCs w:val="18"/>
          <w:i w:val="1"/>
          <w:iCs w:val="1"/>
          <w:color w:val="auto"/>
        </w:rPr>
        <w:t>The FASB Accounting Standards Codification and the Hierarchy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Generally Accepted Accounting Principles — a replacement of FASB Statement No. 162 </w:t>
      </w:r>
      <w:r>
        <w:rPr>
          <w:rFonts w:ascii="Arial" w:cs="Arial" w:eastAsia="Arial" w:hAnsi="Arial"/>
          <w:sz w:val="18"/>
          <w:szCs w:val="18"/>
          <w:color w:val="auto"/>
        </w:rPr>
        <w:t>(SFAS 168</w:t>
      </w:r>
      <w:r>
        <w:rPr>
          <w:rFonts w:ascii="Arial" w:cs="Arial" w:eastAsia="Arial" w:hAnsi="Arial"/>
          <w:sz w:val="18"/>
          <w:szCs w:val="18"/>
          <w:i w:val="1"/>
          <w:iCs w:val="1"/>
          <w:color w:val="auto"/>
        </w:rPr>
        <w:t>)</w:t>
      </w:r>
      <w:r>
        <w:rPr>
          <w:rFonts w:ascii="Arial" w:cs="Arial" w:eastAsia="Arial" w:hAnsi="Arial"/>
          <w:sz w:val="18"/>
          <w:szCs w:val="18"/>
          <w:color w:val="auto"/>
        </w:rPr>
        <w:t>. SFAS 168 establishes the FASB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Codification as the source of authoritative accounting principles recognized by the FASB to be applied by non-governmental entities in the preparation of financial statements in conformity with GAAP in the United States. SFAS 168 is effective for financial statements issued for interim and annual periods ending after September 15, 2009.</w:t>
      </w:r>
    </w:p>
    <w:p>
      <w:pPr>
        <w:spacing w:after="0" w:line="8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In May 2009, the FASB issued SFAS No. 165,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(SFAS 165). SFAS 165 establishes establish principles and requirements for subsequent events. It incorporates the accounting and disclosure requirements for subsequent events into GAAP in the United States. It defines a date through which management must evaluate subsequent events and lists the circumstances under which an entity must recognize and disclose events or transactions occurring after the balance sheet date but before financial statements are issued. SFAS 165 is effective for interim or annual financial periods ending after June 15, 2009. The adoption of this accounting standard will not have a material impact on our consolidated financial statements.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April 2009, the FASB issued the following new accounting standards:</w:t>
      </w:r>
    </w:p>
    <w:p>
      <w:pPr>
        <w:spacing w:after="0" w:line="117" w:lineRule="exact"/>
        <w:rPr>
          <w:sz w:val="20"/>
          <w:szCs w:val="20"/>
          <w:color w:val="auto"/>
        </w:rPr>
      </w:pPr>
    </w:p>
    <w:p>
      <w:pPr>
        <w:ind w:left="660" w:right="80" w:hanging="436"/>
        <w:spacing w:after="0" w:line="276"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107-1 (FSP 107-1) and Accounting Principles Board (APB) Opinion No. 28-1 (APB 28-1), </w:t>
      </w:r>
      <w:r>
        <w:rPr>
          <w:rFonts w:ascii="Arial" w:cs="Arial" w:eastAsia="Arial" w:hAnsi="Arial"/>
          <w:sz w:val="17"/>
          <w:szCs w:val="17"/>
          <w:i w:val="1"/>
          <w:iCs w:val="1"/>
          <w:color w:val="auto"/>
        </w:rPr>
        <w:t>Interim Disclosures about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of Financial Instruments, </w:t>
      </w:r>
      <w:r>
        <w:rPr>
          <w:rFonts w:ascii="Arial" w:cs="Arial" w:eastAsia="Arial" w:hAnsi="Arial"/>
          <w:sz w:val="17"/>
          <w:szCs w:val="17"/>
          <w:color w:val="auto"/>
        </w:rPr>
        <w:t>which amends FASB Statement No. 107,</w:t>
      </w:r>
      <w:r>
        <w:rPr>
          <w:rFonts w:ascii="Arial" w:cs="Arial" w:eastAsia="Arial" w:hAnsi="Arial"/>
          <w:sz w:val="17"/>
          <w:szCs w:val="17"/>
          <w:i w:val="1"/>
          <w:iCs w:val="1"/>
          <w:color w:val="auto"/>
        </w:rPr>
        <w:t xml:space="preserve"> Disclosures about Fair Value of Financial Instruments </w:t>
      </w:r>
      <w:r>
        <w:rPr>
          <w:rFonts w:ascii="Arial" w:cs="Arial" w:eastAsia="Arial" w:hAnsi="Arial"/>
          <w:sz w:val="17"/>
          <w:szCs w:val="17"/>
          <w:color w:val="auto"/>
        </w:rPr>
        <w:t>(SFAS 107)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APB Opinion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xml:space="preserve"> (APB 28)</w:t>
      </w:r>
      <w:r>
        <w:rPr>
          <w:rFonts w:ascii="Arial" w:cs="Arial" w:eastAsia="Arial" w:hAnsi="Arial"/>
          <w:sz w:val="17"/>
          <w:szCs w:val="17"/>
          <w:i w:val="1"/>
          <w:iCs w:val="1"/>
          <w:color w:val="auto"/>
        </w:rPr>
        <w:t>,</w:t>
      </w:r>
      <w:r>
        <w:rPr>
          <w:rFonts w:ascii="Arial" w:cs="Arial" w:eastAsia="Arial" w:hAnsi="Arial"/>
          <w:sz w:val="17"/>
          <w:szCs w:val="17"/>
          <w:color w:val="auto"/>
        </w:rPr>
        <w:t xml:space="preserve"> to require disclosures about the fair value of financial instruments for interim as well as in annual financial statements. FSP 107-1 and APB 28-1 will be effective for interim reporting periods ending after June 15, 2009. The adoption of this accounting standard did not have a material impact on our consolidated financial statements.</w:t>
      </w:r>
    </w:p>
    <w:p>
      <w:pPr>
        <w:spacing w:after="0" w:line="77" w:lineRule="exact"/>
        <w:rPr>
          <w:rFonts w:ascii="Arial" w:cs="Arial" w:eastAsia="Arial" w:hAnsi="Arial"/>
          <w:sz w:val="17"/>
          <w:szCs w:val="17"/>
          <w:b w:val="1"/>
          <w:bCs w:val="1"/>
          <w:color w:val="auto"/>
        </w:rPr>
      </w:pPr>
    </w:p>
    <w:p>
      <w:pPr>
        <w:ind w:left="660" w:right="280" w:hanging="436"/>
        <w:spacing w:after="0" w:line="276"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FAS 157-4, </w:t>
      </w:r>
      <w:r>
        <w:rPr>
          <w:rFonts w:ascii="Arial" w:cs="Arial" w:eastAsia="Arial" w:hAnsi="Arial"/>
          <w:sz w:val="17"/>
          <w:szCs w:val="17"/>
          <w:i w:val="1"/>
          <w:iCs w:val="1"/>
          <w:color w:val="auto"/>
        </w:rPr>
        <w:t>Determining Fair Value When the Volume and Level of Activity for the Asset or Liability Have Significantly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Decreased and Identifying Transactions That Are Not Orderly </w:t>
      </w:r>
      <w:r>
        <w:rPr>
          <w:rFonts w:ascii="Arial" w:cs="Arial" w:eastAsia="Arial" w:hAnsi="Arial"/>
          <w:sz w:val="17"/>
          <w:szCs w:val="17"/>
          <w:color w:val="auto"/>
        </w:rPr>
        <w:t>(FSP 157-4). FSP 157-4 provides additional guidance for estimating fair value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SFAS No. 157, </w:t>
      </w:r>
      <w:r>
        <w:rPr>
          <w:rFonts w:ascii="Arial" w:cs="Arial" w:eastAsia="Arial" w:hAnsi="Arial"/>
          <w:sz w:val="17"/>
          <w:szCs w:val="17"/>
          <w:i w:val="1"/>
          <w:iCs w:val="1"/>
          <w:color w:val="auto"/>
        </w:rPr>
        <w:t>Fair Value Measurements, w</w:t>
      </w:r>
      <w:r>
        <w:rPr>
          <w:rFonts w:ascii="Arial" w:cs="Arial" w:eastAsia="Arial" w:hAnsi="Arial"/>
          <w:sz w:val="17"/>
          <w:szCs w:val="17"/>
          <w:color w:val="auto"/>
        </w:rPr>
        <w:t>hen the volume and level of activity for the asset or liability have significantly decreased. FSP 157-4 will be applied prospectively and will be effective for interim and annual reporting periods ending after June 15, 2009. The adoption of FSP 157-4 did not have a material impact on our consolidated financial statements.</w:t>
      </w:r>
    </w:p>
    <w:p>
      <w:pPr>
        <w:spacing w:after="0" w:line="77" w:lineRule="exact"/>
        <w:rPr>
          <w:rFonts w:ascii="Arial" w:cs="Arial" w:eastAsia="Arial" w:hAnsi="Arial"/>
          <w:sz w:val="17"/>
          <w:szCs w:val="17"/>
          <w:b w:val="1"/>
          <w:bCs w:val="1"/>
          <w:color w:val="auto"/>
        </w:rPr>
      </w:pPr>
    </w:p>
    <w:p>
      <w:pPr>
        <w:ind w:left="660" w:right="38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FASB Staff Position No. 115-2, (FSP 115-2) and FASB Staff Position No. 124-2 (FSP124-2), </w:t>
      </w:r>
      <w:r>
        <w:rPr>
          <w:rFonts w:ascii="Arial" w:cs="Arial" w:eastAsia="Arial" w:hAnsi="Arial"/>
          <w:sz w:val="18"/>
          <w:szCs w:val="18"/>
          <w:i w:val="1"/>
          <w:iCs w:val="1"/>
          <w:color w:val="auto"/>
        </w:rPr>
        <w:t xml:space="preserve">Recognition and Presentation of Other-Than-Temporary Impairments, </w:t>
      </w:r>
      <w:r>
        <w:rPr>
          <w:rFonts w:ascii="Arial" w:cs="Arial" w:eastAsia="Arial" w:hAnsi="Arial"/>
          <w:sz w:val="18"/>
          <w:szCs w:val="18"/>
          <w:color w:val="auto"/>
        </w:rPr>
        <w:t>which amends the other-than-temporary impairment guidance for debt and equity securities. FSP 115-2 and FSP 124-2</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effective for interim and annual reporting periods ending after June 15, 2009. The adoption of FSP 115-2 and FSP 124-2 did not have a material impact on our consolidated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71"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 xml:space="preserve">FASB Staff Position No. FAS 141(R)-1, </w:t>
      </w:r>
      <w:r>
        <w:rPr>
          <w:rFonts w:ascii="Arial" w:cs="Arial" w:eastAsia="Arial" w:hAnsi="Arial"/>
          <w:sz w:val="17"/>
          <w:szCs w:val="17"/>
          <w:i w:val="1"/>
          <w:iCs w:val="1"/>
          <w:color w:val="auto"/>
        </w:rPr>
        <w:t>Accounting for Assets Acquired and Liabilities Assumed in a Business Combination That Arise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(FSP 141 (R)-1). FSP 141 (R)-1 amends and clarifies FASB statement No. 141 (R),</w:t>
      </w:r>
      <w:r>
        <w:rPr>
          <w:rFonts w:ascii="Arial" w:cs="Arial" w:eastAsia="Arial" w:hAnsi="Arial"/>
          <w:sz w:val="17"/>
          <w:szCs w:val="17"/>
          <w:i w:val="1"/>
          <w:iCs w:val="1"/>
          <w:color w:val="auto"/>
        </w:rPr>
        <w:t xml:space="preserve"> Business Combinations </w:t>
      </w:r>
      <w:r>
        <w:rPr>
          <w:rFonts w:ascii="Arial" w:cs="Arial" w:eastAsia="Arial" w:hAnsi="Arial"/>
          <w:sz w:val="17"/>
          <w:szCs w:val="17"/>
          <w:color w:val="auto"/>
        </w:rPr>
        <w:t>(SFAS 141 (R))</w:t>
      </w:r>
      <w:r>
        <w:rPr>
          <w:rFonts w:ascii="Arial" w:cs="Arial" w:eastAsia="Arial" w:hAnsi="Arial"/>
          <w:sz w:val="17"/>
          <w:szCs w:val="17"/>
          <w:i w:val="1"/>
          <w:iCs w:val="1"/>
          <w:color w:val="auto"/>
        </w:rPr>
        <w:t xml:space="preserve">,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issues related to the recognition and measurement of assets and liabilities arising from contingencies in a business combination. Assets and liabilities assumed in a business combination that arise from contingencies should be recognized at fair value on the acquisition date if fair value can be reasonably estimated during the measurement period. If fair value cannot be reasonably estimated, companies should typically account for the acquired contingencies using existing guidance. We adopted SFAS 141(R) and FSP 141(R)-1 on January 1, 2009. We expect SFAS 141(R) and FSP 141(R) -1 will have an impact on our consolidated financial statements; however, the nature and magnitude of the impact will depend upon the nature, terms and size of the acquisition we consummate after the effective date.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market risks at June 30, 2009 have not changed materially from those discussed in Item 7A of our Form 10-K for the year ended December 31, 2008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There have been no material change from the risk factors disclosed in Part I, Item 1A, of our Annual Report on Form 10-K for the fiscal year ended December 31, 2008 and Part II, Item 1A, of our Quarterly Report on Form 10-Q for the quarter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29, 2009, we held our Annual Meeting of Stockholders. Mr. Martin McGlynn and Dr. Roger Perlmutter were re-elected to the Board as Class III directors, with terms expiring in 2012. The remaining members of the Board, whose terms continued after the Annual Meeting, are Mr. Eric Bjerkholt and Drs. Ricardo Levy, John Schwartz and Irving Weissman. The shareholders also ratified the selection of Grant Thornton LLP as StemCells’ independent public accountants for the fiscal year ending December 31,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number of proxies finally tabulated represented 79,855,320 of the 103,198,126 eligible shares, or 77.38 percent of eligible shares. The votes on each of the proposals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282"/>
              <w:spacing w:after="0"/>
              <w:rPr>
                <w:sz w:val="20"/>
                <w:szCs w:val="20"/>
                <w:color w:val="auto"/>
              </w:rPr>
            </w:pPr>
            <w:r>
              <w:rPr>
                <w:rFonts w:ascii="Arial" w:cs="Arial" w:eastAsia="Arial" w:hAnsi="Arial"/>
                <w:sz w:val="14"/>
                <w:szCs w:val="14"/>
                <w:color w:val="auto"/>
              </w:rPr>
              <w:t>Authority</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40" w:type="dxa"/>
            <w:vAlign w:val="bottom"/>
          </w:tcPr>
          <w:p>
            <w:pPr>
              <w:spacing w:after="0"/>
              <w:rPr>
                <w:sz w:val="14"/>
                <w:szCs w:val="14"/>
                <w:color w:val="auto"/>
              </w:rPr>
            </w:pPr>
          </w:p>
        </w:tc>
        <w:tc>
          <w:tcPr>
            <w:tcW w:w="12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Withheld</w:t>
            </w:r>
          </w:p>
        </w:tc>
        <w:tc>
          <w:tcPr>
            <w:tcW w:w="460" w:type="dxa"/>
            <w:vAlign w:val="bottom"/>
          </w:tcPr>
          <w:p>
            <w:pPr>
              <w:spacing w:after="0"/>
              <w:rPr>
                <w:sz w:val="14"/>
                <w:szCs w:val="14"/>
                <w:color w:val="auto"/>
              </w:rPr>
            </w:pPr>
          </w:p>
        </w:tc>
        <w:tc>
          <w:tcPr>
            <w:tcW w:w="12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Against</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Election of Martin McGlynn, as director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74,847,727</w:t>
            </w:r>
          </w:p>
        </w:tc>
        <w:tc>
          <w:tcPr>
            <w:tcW w:w="17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5,007,593</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Election of Roger Perlmutter, M.D., Ph.D., as 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75,766,424</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4,088,896</w:t>
            </w:r>
          </w:p>
        </w:tc>
        <w:tc>
          <w:tcPr>
            <w:tcW w:w="460" w:type="dxa"/>
            <w:vAlign w:val="bottom"/>
          </w:tcPr>
          <w:p>
            <w:pPr>
              <w:spacing w:after="0"/>
              <w:rPr>
                <w:sz w:val="24"/>
                <w:szCs w:val="24"/>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Grant Thornton LLP as independent accountants</w:t>
            </w:r>
          </w:p>
        </w:tc>
        <w:tc>
          <w:tcPr>
            <w:tcW w:w="1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2009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77,551,202</w:t>
            </w: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1,721,152</w:t>
            </w:r>
          </w:p>
        </w:tc>
        <w:tc>
          <w:tcPr>
            <w:tcW w:w="1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582,966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May 2009, we terminated an agreement to purchase a building in Sunnyvale, California which we had entered into with North Pastoria Sunnyvale, LLC in March 2009. Our obligation to purchase the building was subject to due diligence and other pre-closing conditions, and we decided not to purchase the building.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August 2009, we amended the employment agreement between us and Ken Stratton, our General Counsel. Under the terms of the amendment, if</w:t>
      </w:r>
    </w:p>
    <w:p>
      <w:pPr>
        <w:spacing w:after="0" w:line="35"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Mr. Stratton’s employment is involuntarily terminated by us other than for cause, Mr. Stratton would be entitled to receive salary and benefits continuation at his then-current base salary rate for a period of six months. In the event of a termination following a change of control of the Company, Mr. Stratton would be entitled to receive salary and benefits continuation at his then-current base salary rate for a period of 12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64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August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33</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19"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June 30, 2009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June 30, 2009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3"/>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2019-12-10T09:25:31Z</dcterms:created>
  <dcterms:modified xsi:type="dcterms:W3CDTF">2019-12-10T09:25:31Z</dcterms:modified>
</cp:coreProperties>
</file>